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Estándar técnico de arquitectura para el desarrollo de MicroFrontends, basado en React, Typescript, Webpack Module Federation, ItauOne y Atomic Design, con ContenStack. </w:t>
        <w:br w:type="textWrapping"/>
        <w:br w:type="textWrapping"/>
        <w:t xml:space="preserve">Lineamientos formales usando el lenguaje de requisitos definido por el RFC 2119, con ejemplos técnicos, estructura de carpetas, y buenas prácticas de diseño y despliegue desde el punto de vista de arquitectura de software.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ind w:left="720" w:hanging="360"/>
        <w:rPr>
          <w:sz w:val="46"/>
          <w:szCs w:val="46"/>
        </w:rPr>
      </w:pPr>
      <w:bookmarkStart w:colFirst="0" w:colLast="0" w:name="_34g02lkpymc0" w:id="0"/>
      <w:bookmarkEnd w:id="0"/>
      <w:r w:rsidDel="00000000" w:rsidR="00000000" w:rsidRPr="00000000">
        <w:rPr>
          <w:sz w:val="46"/>
          <w:szCs w:val="46"/>
          <w:rtl w:val="0"/>
        </w:rPr>
        <w:t xml:space="preserve">Estándar Técnico de Arquitectura de MicroFrontends (React, TypeScript, Webpack, ContentStack)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define los lineamientos obligatorios para el desarrollo de arquitecturas MicroFrontend basados en </w:t>
      </w:r>
      <w:r w:rsidDel="00000000" w:rsidR="00000000" w:rsidRPr="00000000">
        <w:rPr>
          <w:b w:val="1"/>
          <w:rtl w:val="0"/>
        </w:rPr>
        <w:t xml:space="preserve">React 18.2.0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 4.9.5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Webpack 5 (Module Federation)</w:t>
      </w:r>
      <w:r w:rsidDel="00000000" w:rsidR="00000000" w:rsidRPr="00000000">
        <w:rPr>
          <w:rtl w:val="0"/>
        </w:rPr>
        <w:t xml:space="preserve">, las librerías internas </w:t>
      </w:r>
      <w:r w:rsidDel="00000000" w:rsidR="00000000" w:rsidRPr="00000000">
        <w:rPr>
          <w:i w:val="1"/>
          <w:rtl w:val="0"/>
        </w:rPr>
        <w:t xml:space="preserve">ItauOne</w:t>
      </w:r>
      <w:r w:rsidDel="00000000" w:rsidR="00000000" w:rsidRPr="00000000">
        <w:rPr>
          <w:rtl w:val="0"/>
        </w:rPr>
        <w:t xml:space="preserve"> (@itau-one/core, @itau-one/icons, @itau-one/react), el CMS </w:t>
      </w:r>
      <w:r w:rsidDel="00000000" w:rsidR="00000000" w:rsidRPr="00000000">
        <w:rPr>
          <w:b w:val="1"/>
          <w:rtl w:val="0"/>
        </w:rPr>
        <w:t xml:space="preserve">ContentStack</w:t>
      </w:r>
      <w:r w:rsidDel="00000000" w:rsidR="00000000" w:rsidRPr="00000000">
        <w:rPr>
          <w:rtl w:val="0"/>
        </w:rPr>
        <w:t xml:space="preserve"> y la metodología </w:t>
      </w:r>
      <w:r w:rsidDel="00000000" w:rsidR="00000000" w:rsidRPr="00000000">
        <w:rPr>
          <w:b w:val="1"/>
          <w:rtl w:val="0"/>
        </w:rPr>
        <w:t xml:space="preserve">Atomic Design</w:t>
      </w:r>
      <w:r w:rsidDel="00000000" w:rsidR="00000000" w:rsidRPr="00000000">
        <w:rPr>
          <w:rtl w:val="0"/>
        </w:rPr>
        <w:t xml:space="preserve">. Los siguientes puntos se establecen con terminología RFC 2119: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DEBE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PUEDE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ywppdyrrk869" w:id="1"/>
      <w:bookmarkEnd w:id="1"/>
      <w:r w:rsidDel="00000000" w:rsidR="00000000" w:rsidRPr="00000000">
        <w:rPr>
          <w:sz w:val="34"/>
          <w:szCs w:val="34"/>
          <w:rtl w:val="0"/>
        </w:rPr>
        <w:t xml:space="preserve">Tecnologías Fundamentales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18.2.0: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usar React 18.2.0 como librería de UI. Todas las aplicaciones frontend </w:t>
      </w:r>
      <w:r w:rsidDel="00000000" w:rsidR="00000000" w:rsidRPr="00000000">
        <w:rPr>
          <w:b w:val="1"/>
          <w:rtl w:val="0"/>
        </w:rPr>
        <w:t xml:space="preserve">DEBEN</w:t>
      </w:r>
      <w:r w:rsidDel="00000000" w:rsidR="00000000" w:rsidRPr="00000000">
        <w:rPr>
          <w:rtl w:val="0"/>
        </w:rPr>
        <w:t xml:space="preserve"> estar escritas en React, sin usar otros frameworks (Angular, Vue, etc.).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 4.9.5:</w:t>
      </w:r>
      <w:r w:rsidDel="00000000" w:rsidR="00000000" w:rsidRPr="00000000">
        <w:rPr>
          <w:rtl w:val="0"/>
        </w:rPr>
        <w:t xml:space="preserve"> El uso de TypeScript 4.9.5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ser obligatorio para asegurar tipado estático. La integración de TypeScript con React mejora la seguridad y mantenibilidad del código mediante tipado estático y detección temprana de errores en tiempo de compilación.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Webpack 5 + Module Federation: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usarse Webpack 5 con el plugin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ModuleFederationPlugin</w:t>
      </w:r>
      <w:r w:rsidDel="00000000" w:rsidR="00000000" w:rsidRPr="00000000">
        <w:rPr>
          <w:rtl w:val="0"/>
        </w:rPr>
        <w:t xml:space="preserve"> para habilitar la arquitectura de MicroFrontends. Webpack 5 incluye Module Federation para cargar módulos compilados por separado, lo que provee una solución oficial para microfrontends.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Librerías ItauOne: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incorporarse la librería de componentes corporativos </w:t>
      </w:r>
      <w:r w:rsidDel="00000000" w:rsidR="00000000" w:rsidRPr="00000000">
        <w:rPr>
          <w:i w:val="1"/>
          <w:rtl w:val="0"/>
        </w:rPr>
        <w:t xml:space="preserve">ItauOne</w:t>
      </w:r>
      <w:r w:rsidDel="00000000" w:rsidR="00000000" w:rsidRPr="00000000">
        <w:rPr>
          <w:rtl w:val="0"/>
        </w:rPr>
        <w:t xml:space="preserve">. En particular: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@itau-one/react</w:t>
      </w:r>
      <w:r w:rsidDel="00000000" w:rsidR="00000000" w:rsidRPr="00000000">
        <w:rPr>
          <w:rtl w:val="0"/>
        </w:rPr>
        <w:t xml:space="preserve">: librería de componentes UI React (botones, inputs, layout, etc.).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@itau-one/icons</w:t>
      </w:r>
      <w:r w:rsidDel="00000000" w:rsidR="00000000" w:rsidRPr="00000000">
        <w:rPr>
          <w:rtl w:val="0"/>
        </w:rPr>
        <w:t xml:space="preserve">: librería de íconos SVG del sistema de diseño.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@itau-one/core</w:t>
      </w:r>
      <w:r w:rsidDel="00000000" w:rsidR="00000000" w:rsidRPr="00000000">
        <w:rPr>
          <w:rtl w:val="0"/>
        </w:rPr>
        <w:t xml:space="preserve">: estilos globales y tokens de diseño.</w:t>
        <w:br w:type="textWrapping"/>
        <w:t xml:space="preserve">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consultar la documentación interna en GitLab de estas librerías para conocer su uso correcto y configuraciones específicas. El uso consistente del sistema de diseño ItauOne promueve interfaces coherentes y escalables.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ContentStack (CMS):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usarse ContentStack como CMS Headless.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integrar mediante su SDK oficial (TypeScript/JavaScript) para recuperar contenido dinámico. Integrar React con un CMS Headless permite construir interfaces de usuario más rápidas y optimizadas.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Atomic Design: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organizarse la estructura del proyecto según la metodología Atomic Design. Esto implica clasificar los componentes en los niveles: </w:t>
      </w:r>
      <w:r w:rsidDel="00000000" w:rsidR="00000000" w:rsidRPr="00000000">
        <w:rPr>
          <w:b w:val="1"/>
          <w:rtl w:val="0"/>
        </w:rPr>
        <w:t xml:space="preserve">Átomos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Moléculas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Organismos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Plantillas/Template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Páginas</w:t>
      </w:r>
      <w:r w:rsidDel="00000000" w:rsidR="00000000" w:rsidRPr="00000000">
        <w:rPr>
          <w:rtl w:val="0"/>
        </w:rPr>
        <w:t xml:space="preserve">. Atomic Design facilita la creación de interfaces modulares y consistentes.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Otras tecnologías: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SE DEBEN</w:t>
      </w:r>
      <w:r w:rsidDel="00000000" w:rsidR="00000000" w:rsidRPr="00000000">
        <w:rPr>
          <w:rtl w:val="0"/>
        </w:rPr>
        <w:t xml:space="preserve"> usar librerías o frameworks fuera de los mencionados. Por ejemplo, no incorporar Angular, Vue, jQuery, Bootstrap (salvo lo que provea ItauOne), ni SDKs no autorizados.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1p3bgrkh2x8n" w:id="2"/>
      <w:bookmarkEnd w:id="2"/>
      <w:r w:rsidDel="00000000" w:rsidR="00000000" w:rsidRPr="00000000">
        <w:rPr>
          <w:sz w:val="34"/>
          <w:szCs w:val="34"/>
          <w:rtl w:val="0"/>
        </w:rPr>
        <w:t xml:space="preserve">Arquitectura de MicroFrontends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definirse con un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(aplicación contenedora o «host») que cargue dinámicamente los MicroFrontends individuales como módulos federados. Cada microfrontend (MFE) es una aplicación React independiente que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compilarse y desplegarse por separado. El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y los MFEs se comunican en tiempo de ejecución mediante URLs externas definidas en Webpack Module Federation. En Webpack,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ModuleFederationPlugin</w:t>
      </w:r>
      <w:r w:rsidDel="00000000" w:rsidR="00000000" w:rsidRPr="00000000">
        <w:rPr>
          <w:rtl w:val="0"/>
        </w:rPr>
        <w:t xml:space="preserve"> permite exponer y consumir módulos entre builds independientes en tiempo de ejecución.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(host)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declarar en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webpack.config.js</w:t>
      </w:r>
      <w:r w:rsidDel="00000000" w:rsidR="00000000" w:rsidRPr="00000000">
        <w:rPr>
          <w:rtl w:val="0"/>
        </w:rPr>
        <w:t xml:space="preserve"> los remotos (MFEs) a cargar. Ejemplo mínimo de configuración del Shell:</w:t>
        <w:br w:type="textWrapping"/>
        <w:br w:type="textWrapping"/>
        <w:t xml:space="preserve"> const { ModuleFederationPlugin } = require('webpack').container;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entry: './src/index',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output: { publicPath: 'auto' },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new ModuleFederationPlugin({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name: 'shell',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remotes: {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// 'appA' es el nombre del MFE remoto, la URL apunta a su remoteEntry.js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appA: 'appA@http://localhost:3001/remoteEntry.js'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shared: ['react', 'react-dom'] // librerías comunes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MicroFrontend (MFE)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exponer sus módulos críticos (por ejemplo, páginas o componentes principales) en su propio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webpack.config.js</w:t>
      </w:r>
      <w:r w:rsidDel="00000000" w:rsidR="00000000" w:rsidRPr="00000000">
        <w:rPr>
          <w:rtl w:val="0"/>
        </w:rPr>
        <w:t xml:space="preserve">. Ejemplo mínimo de configuración de un MFE:</w:t>
        <w:br w:type="textWrapping"/>
        <w:br w:type="textWrapping"/>
        <w:t xml:space="preserve"> const { ModuleFederationPlugin } = require('webpack').container;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entry: './src/index',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new ModuleFederationPlugin({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name: 'appA',                     // nombre del MFE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filename: 'remoteEntry.js',       // archivo que sirve el MFE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exposes: {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  './Widget': './src/components/Widget.tsx'  // expone el componente Widget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shared: ['react', 'react-dom']    // librerías compartidas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definirse la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Module Federation para evitar duplicados de bibliotecas comunes (por ejemplo React).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se especifican paquetes compartidos entre builds federadas. Por defecto, Webpack solo comparte el nivel raíz de la librería. Se recomienda compartir al menos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react-dom</w:t>
      </w:r>
      <w:r w:rsidDel="00000000" w:rsidR="00000000" w:rsidRPr="00000000">
        <w:rPr>
          <w:rtl w:val="0"/>
        </w:rPr>
        <w:t xml:space="preserve">, y versionarlos según compatibilidad de semver.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cargar los MFEs mediante 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dinámico o componentes personalizados. 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module = await import('appA/Widget');</w:t>
      </w:r>
      <w:r w:rsidDel="00000000" w:rsidR="00000000" w:rsidRPr="00000000">
        <w:rPr>
          <w:rtl w:val="0"/>
        </w:rPr>
        <w:t xml:space="preserve"> cargará el componente remoto. El MFE puede exponer un </w:t>
      </w:r>
      <w:r w:rsidDel="00000000" w:rsidR="00000000" w:rsidRPr="00000000">
        <w:rPr>
          <w:i w:val="1"/>
          <w:rtl w:val="0"/>
        </w:rPr>
        <w:t xml:space="preserve">Web Component</w:t>
      </w:r>
      <w:r w:rsidDel="00000000" w:rsidR="00000000" w:rsidRPr="00000000">
        <w:rPr>
          <w:rtl w:val="0"/>
        </w:rPr>
        <w:t xml:space="preserve"> o un componente React que se integre en el DOM del Shell. Esta integración en tiempo de ejecución permite desarrollo independiente de cada MFE.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vidb7kc3tvme" w:id="3"/>
      <w:bookmarkEnd w:id="3"/>
      <w:r w:rsidDel="00000000" w:rsidR="00000000" w:rsidRPr="00000000">
        <w:rPr>
          <w:sz w:val="34"/>
          <w:szCs w:val="34"/>
          <w:rtl w:val="0"/>
        </w:rPr>
        <w:t xml:space="preserve">Estructura de Carpeta (Atomic Design)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seguirse la metodología Atomic Design para organizar el código y las carpetas del proyecto. Los componentes se agrupan por nivel de complejidad, facilitando la reutilización: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Átomos:</w:t>
      </w:r>
      <w:r w:rsidDel="00000000" w:rsidR="00000000" w:rsidRPr="00000000">
        <w:rPr>
          <w:rtl w:val="0"/>
        </w:rPr>
        <w:t xml:space="preserve"> componentes básicos e indivisibles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Icon.tsx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Moléculas:</w:t>
      </w:r>
      <w:r w:rsidDel="00000000" w:rsidR="00000000" w:rsidRPr="00000000">
        <w:rPr>
          <w:rtl w:val="0"/>
        </w:rPr>
        <w:t xml:space="preserve"> combinaciones de átomos con funcionalidad específica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FormField.tsx</w:t>
      </w:r>
      <w:r w:rsidDel="00000000" w:rsidR="00000000" w:rsidRPr="00000000">
        <w:rPr>
          <w:rtl w:val="0"/>
        </w:rPr>
        <w:t xml:space="preserve"> combina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Organismos:</w:t>
      </w:r>
      <w:r w:rsidDel="00000000" w:rsidR="00000000" w:rsidRPr="00000000">
        <w:rPr>
          <w:rtl w:val="0"/>
        </w:rPr>
        <w:t xml:space="preserve"> componentes complejos que agrupan moléculas/átomos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Footer.tsx</w:t>
      </w:r>
      <w:r w:rsidDel="00000000" w:rsidR="00000000" w:rsidRPr="00000000">
        <w:rPr>
          <w:rtl w:val="0"/>
        </w:rPr>
        <w:t xml:space="preserve">, menús completos).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Plantillas (Templates):</w:t>
      </w:r>
      <w:r w:rsidDel="00000000" w:rsidR="00000000" w:rsidRPr="00000000">
        <w:rPr>
          <w:rtl w:val="0"/>
        </w:rPr>
        <w:t xml:space="preserve"> estructuras de página que disponen organismos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HomeTemplate.tsx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Páginas:</w:t>
      </w:r>
      <w:r w:rsidDel="00000000" w:rsidR="00000000" w:rsidRPr="00000000">
        <w:rPr>
          <w:rtl w:val="0"/>
        </w:rPr>
        <w:t xml:space="preserve"> instancias finales con contenido real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HomePage.tsx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Por ejemplo, una posible estructura de carpetas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 puede ser: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atoms/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Button.tsx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Icon.tsx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Input.tsx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molecules/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FormField.tsx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SearchBar.tsx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organisms/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Header.tsx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Footer.tsx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Sidebar.tsx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templates/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HomeTemplate.tsx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DashboardTemplate.tsx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pages/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HomePage.tsx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DashboardPage.tsx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Esta organización refleja las 5 etapas del diseño atómico (Átomos, Moléculas, Organismos, Plantillas, Páginas). Atomic Design promueve un sistema de diseño consistente que facilita la evolución de la UI.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adoptar esta estructura en todos los MFEs.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amvg18w57iq9" w:id="4"/>
      <w:bookmarkEnd w:id="4"/>
      <w:r w:rsidDel="00000000" w:rsidR="00000000" w:rsidRPr="00000000">
        <w:rPr>
          <w:sz w:val="34"/>
          <w:szCs w:val="34"/>
          <w:rtl w:val="0"/>
        </w:rPr>
        <w:t xml:space="preserve">Librerías ItauOne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Los MicroFrontends </w:t>
      </w:r>
      <w:r w:rsidDel="00000000" w:rsidR="00000000" w:rsidRPr="00000000">
        <w:rPr>
          <w:b w:val="1"/>
          <w:rtl w:val="0"/>
        </w:rPr>
        <w:t xml:space="preserve">DEBEN</w:t>
      </w:r>
      <w:r w:rsidDel="00000000" w:rsidR="00000000" w:rsidRPr="00000000">
        <w:rPr>
          <w:rtl w:val="0"/>
        </w:rPr>
        <w:t xml:space="preserve"> usar los componentes e íconos del sistema de diseño ItauOne para asegurar uniformidad visual. Las recomendaciones son: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UI:</w:t>
      </w:r>
      <w:r w:rsidDel="00000000" w:rsidR="00000000" w:rsidRPr="00000000">
        <w:rPr>
          <w:rtl w:val="0"/>
        </w:rPr>
        <w:t xml:space="preserve"> Importar componentes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@itau-one/react</w:t>
      </w:r>
      <w:r w:rsidDel="00000000" w:rsidR="00000000" w:rsidRPr="00000000">
        <w:rPr>
          <w:rtl w:val="0"/>
        </w:rPr>
        <w:t xml:space="preserve">. Por ejemplo, botones, formularios y layouts predefinidos.</w:t>
        <w:br w:type="textWrapping"/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Íconos:</w:t>
      </w:r>
      <w:r w:rsidDel="00000000" w:rsidR="00000000" w:rsidRPr="00000000">
        <w:rPr>
          <w:rtl w:val="0"/>
        </w:rPr>
        <w:t xml:space="preserve">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@itau-one/icons</w:t>
      </w:r>
      <w:r w:rsidDel="00000000" w:rsidR="00000000" w:rsidRPr="00000000">
        <w:rPr>
          <w:rtl w:val="0"/>
        </w:rPr>
        <w:t xml:space="preserve"> para representar íconos estándar de la marca.</w:t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Estilos y tokens:</w:t>
      </w:r>
      <w:r w:rsidDel="00000000" w:rsidR="00000000" w:rsidRPr="00000000">
        <w:rPr>
          <w:rtl w:val="0"/>
        </w:rPr>
        <w:t xml:space="preserve"> Aplicar los estilos globales y variables definidas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@itau-one/core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Ejemplo de uso correcto de ItauOne en un componente React: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{ Button } from '@itau-one/react';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{ HomeIcon } from '@itau-one/icons';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const ExampleComponent: React.FC = () =&gt; (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&lt;Button type="primary" onClick={() =&gt; alert('Click')}&gt;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  &lt;HomeIcon /&gt; Ir a inicio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seguir la documentación en GitLab de ItauOne para configuraciones específicas (temas, tipografía, variantes de componentes, etc.). La adopción unificada de ItauOne </w:t>
      </w:r>
      <w:r w:rsidDel="00000000" w:rsidR="00000000" w:rsidRPr="00000000">
        <w:rPr>
          <w:b w:val="1"/>
          <w:rtl w:val="0"/>
        </w:rPr>
        <w:t xml:space="preserve">permite crear interfaces consistentes y escalables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t2wnv4v4umfg" w:id="5"/>
      <w:bookmarkEnd w:id="5"/>
      <w:r w:rsidDel="00000000" w:rsidR="00000000" w:rsidRPr="00000000">
        <w:rPr>
          <w:sz w:val="34"/>
          <w:szCs w:val="34"/>
          <w:rtl w:val="0"/>
        </w:rPr>
        <w:t xml:space="preserve">Integración con ContentStack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La gestión de contenido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realizarse a través de ContentStack, siguiendo estas pautas: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SDK de ContentStack:</w:t>
      </w:r>
      <w:r w:rsidDel="00000000" w:rsidR="00000000" w:rsidRPr="00000000">
        <w:rPr>
          <w:rtl w:val="0"/>
        </w:rPr>
        <w:t xml:space="preserve"> Utilizar el SDK oficial (JavaScript/TypeScript) para inicializar el cliente. Por ejemplo:</w:t>
        <w:br w:type="textWrapping"/>
        <w:br w:type="textWrapping"/>
        <w:t xml:space="preserve"> import * as Contentstack from 'contentstack';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 Stack = Contentstack.Stack({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api_key: 'TU_API_KEY',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delivery_token: 'TU_DELIVERY_TOKEN',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environment: 'production'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Este código inicializa el cliente ContentStack con las credenciales correspondientes.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proteger las credenciales (p.ej. variables de entorno) y no exponerlas en el frontend.</w:t>
        <w:br w:type="textWrapping"/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Recuperación de contenido:</w:t>
      </w:r>
      <w:r w:rsidDel="00000000" w:rsidR="00000000" w:rsidRPr="00000000">
        <w:rPr>
          <w:rtl w:val="0"/>
        </w:rPr>
        <w:t xml:space="preserve"> Definir funciones para consultas de ContentStack. Por ejemplo, para obtener entradas de un tipo de contenido:</w:t>
        <w:br w:type="textWrapping"/>
        <w:br w:type="textWrapping"/>
        <w:t xml:space="preserve"> export async function fetchEntries(contentType: string, queryParams = {}) {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const Query = Stack.ContentType(contentType).Query();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Object.entries(queryParams).forEach(([key, value]) =&gt; Query.where(key, value));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const result = await Query.includeCount().toJSON().find();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return result[0];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Con estas funciones, cada MFE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obtener su contenido específico (por ejemplo, entradas de blog, configuraciones, etc.) del CMS en tiempo de ejecución.</w:t>
        <w:br w:type="textWrapping"/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Sincronización: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diseñar el flujo de despliegue de contenido de ContentStack para que, una vez publicado (API pública), los MFEs puedan refrescar o volver a desplegarse si es necesario. ContentStack como CMS Headless mejora la eficiencia al separar contenido de presentación.</w:t>
        <w:br w:type="textWrapping"/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Buenas prácticas:</w:t>
      </w:r>
      <w:r w:rsidDel="00000000" w:rsidR="00000000" w:rsidRPr="00000000">
        <w:rPr>
          <w:rtl w:val="0"/>
        </w:rPr>
        <w:t xml:space="preserve"> Es recomendable utilizar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Query.includeCount()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Query.language()</w:t>
      </w:r>
      <w:r w:rsidDel="00000000" w:rsidR="00000000" w:rsidRPr="00000000">
        <w:rPr>
          <w:rtl w:val="0"/>
        </w:rPr>
        <w:t xml:space="preserve"> según se necesite. También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aprovecharse la vista previa en vivo de ContentStack durante el desarrollo (Live Preview) para validar cambios de contenido rápidamente.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sou6hqx44r2z" w:id="6"/>
      <w:bookmarkEnd w:id="6"/>
      <w:r w:rsidDel="00000000" w:rsidR="00000000" w:rsidRPr="00000000">
        <w:rPr>
          <w:sz w:val="34"/>
          <w:szCs w:val="34"/>
          <w:rtl w:val="0"/>
        </w:rPr>
        <w:t xml:space="preserve">Despliegue y CI/CD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Para mantener la integridad y calidad del sistema,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establecerse un pipeline de CI/CD que automatice la construcción, prueba y despliegue de cada MicroFrontend. Las recomendaciones mínimas son: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continua (CI):</w:t>
      </w:r>
      <w:r w:rsidDel="00000000" w:rsidR="00000000" w:rsidRPr="00000000">
        <w:rPr>
          <w:rtl w:val="0"/>
        </w:rPr>
        <w:t xml:space="preserve"> Cada MFE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tener su propio pipeline en GitLab CI/CD (o similar). El pipeline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ejecutar </w:t>
      </w:r>
      <w:r w:rsidDel="00000000" w:rsidR="00000000" w:rsidRPr="00000000">
        <w:rPr>
          <w:i w:val="1"/>
          <w:rtl w:val="0"/>
        </w:rPr>
        <w:t xml:space="preserve">lint</w:t>
      </w:r>
      <w:r w:rsidDel="00000000" w:rsidR="00000000" w:rsidRPr="00000000">
        <w:rPr>
          <w:rtl w:val="0"/>
        </w:rPr>
        <w:t xml:space="preserve">, pruebas unitarias y compilación (build) en cada push. Solo si todas las validaciones pasan, se debe permitir el despliegue. Los pipelines automatizan la construcción, prueba y despliegue del código.</w:t>
        <w:br w:type="textWrapping"/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 continua (CD):</w:t>
      </w:r>
      <w:r w:rsidDel="00000000" w:rsidR="00000000" w:rsidRPr="00000000">
        <w:rPr>
          <w:rtl w:val="0"/>
        </w:rPr>
        <w:t xml:space="preserve"> Los artefactos compilados (por ejemplo, bundles o contenedores Docker) </w:t>
      </w:r>
      <w:r w:rsidDel="00000000" w:rsidR="00000000" w:rsidRPr="00000000">
        <w:rPr>
          <w:b w:val="1"/>
          <w:rtl w:val="0"/>
        </w:rPr>
        <w:t xml:space="preserve">DEBEN</w:t>
      </w:r>
      <w:r w:rsidDel="00000000" w:rsidR="00000000" w:rsidRPr="00000000">
        <w:rPr>
          <w:rtl w:val="0"/>
        </w:rPr>
        <w:t xml:space="preserve"> publicarse de manera independiente. Cada MFE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desplegarse a su entorno (desarrollo, QA, producción) sin afectar a otros.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soportar rollback de versiones en caso de error.</w:t>
        <w:br w:type="textWrapping"/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PUEDE</w:t>
      </w:r>
      <w:r w:rsidDel="00000000" w:rsidR="00000000" w:rsidRPr="00000000">
        <w:rPr>
          <w:rtl w:val="0"/>
        </w:rPr>
        <w:t xml:space="preserve"> usarse infraestructura de nube corporativa o servidores de aplicaciones para hospedar los bundles. Por ejemplo, servir cada MFE (y el Shell) en un contenedor web con capacidad de servir el </w:t>
      </w:r>
      <w:r w:rsidDel="00000000" w:rsidR="00000000" w:rsidRPr="00000000">
        <w:rPr>
          <w:i w:val="1"/>
          <w:rtl w:val="0"/>
        </w:rPr>
        <w:t xml:space="preserve">remoteEntry.js</w:t>
      </w:r>
      <w:r w:rsidDel="00000000" w:rsidR="00000000" w:rsidRPr="00000000">
        <w:rPr>
          <w:rtl w:val="0"/>
        </w:rPr>
        <w:t xml:space="preserve"> correspondiente.</w:t>
        <w:br w:type="textWrapping"/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Versionamiento: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aplicarse versionamiento semántico (SemVer) a cada MFE.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etiquetar releases con versiones claras para seguimiento.</w:t>
        <w:br w:type="textWrapping"/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incluir pruebas unitarias y de integración en cada MicroFrontend, de modo que cada cambio individual sea validado. Por ejemplo, usar Jest/RTL para React. Estas pruebas se ejecutan en CI antes del despliegue.</w:t>
        <w:br w:type="textWrapping"/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código: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haber revisiones de código (“code review”) obligatorias entre miembros de diferentes células para asegurar calidad uniforme.</w:t>
        <w:br w:type="textWrapping"/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verificarse que las dependencias no autorizadas (no listadas en este estándar) no estén presentes (p.ej. mediante herramientas de análisis de seguridad en el pipeline).</w:t>
        <w:br w:type="textWrapping"/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Observabilidad: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implementarse registro de errores (monitoring) y métricas por MicroFrontend para detectar y solucionar problemas en producción. Cada MFE puede incorporar herramientas internas de telemetry de ItauOne o soluciones existentes.</w:t>
        <w:br w:type="textWrapping"/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Cada pipeline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estar integrado al sistema de control de versiones (GitLab) y respetar las políticas de la organización. Los pipelines CI/CD automatizados aseguran que el proceso de construcción, prueba y despliegue sea reproducible y confiable.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ipy1x4fiq7a0" w:id="7"/>
      <w:bookmarkEnd w:id="7"/>
      <w:r w:rsidDel="00000000" w:rsidR="00000000" w:rsidRPr="00000000">
        <w:rPr>
          <w:sz w:val="34"/>
          <w:szCs w:val="34"/>
          <w:rtl w:val="0"/>
        </w:rPr>
        <w:t xml:space="preserve">Mantenibilidad del Código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la mantenibilidad del frontend modular,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adoptarse las siguientes prácticas: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El código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ser modular y reutilizable. Cada componente React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corresponder a un solo propósito (una vista, un widget, etc.). Los módulos comunes (p.ej. utilidades, hooks, servicios de API) </w:t>
      </w:r>
      <w:r w:rsidDel="00000000" w:rsidR="00000000" w:rsidRPr="00000000">
        <w:rPr>
          <w:b w:val="1"/>
          <w:rtl w:val="0"/>
        </w:rPr>
        <w:t xml:space="preserve">DEBERÍAN</w:t>
      </w:r>
      <w:r w:rsidDel="00000000" w:rsidR="00000000" w:rsidRPr="00000000">
        <w:rPr>
          <w:rtl w:val="0"/>
        </w:rPr>
        <w:t xml:space="preserve"> compartirse a nivel corporativo o mediante paquetes internos cuando aplique.</w:t>
        <w:br w:type="textWrapping"/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usarse una herramienta de documentación/componentes (como Storybook) para cada librería de componentes. Cada componente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tener documentación de uso básico.</w:t>
        <w:br w:type="textWrapping"/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 y linters: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aplicarse una convención de estilos consistente (p.ej. ESLint, Prettier con configuración unificada). El pipeline debe validar el estilo para prevenir divergencias entre equipos.</w:t>
        <w:br w:type="textWrapping"/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Todas las dependencias </w:t>
      </w:r>
      <w:r w:rsidDel="00000000" w:rsidR="00000000" w:rsidRPr="00000000">
        <w:rPr>
          <w:b w:val="1"/>
          <w:rtl w:val="0"/>
        </w:rPr>
        <w:t xml:space="preserve">DEBEN</w:t>
      </w:r>
      <w:r w:rsidDel="00000000" w:rsidR="00000000" w:rsidRPr="00000000">
        <w:rPr>
          <w:rtl w:val="0"/>
        </w:rPr>
        <w:t xml:space="preserve"> estar declaradas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evitarse el uso de dependencias globales.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actualizar regularmente las dependencias de ItauOne y React/TypeScript según compatibilidad, testear y documentar cada actualización.</w:t>
        <w:br w:type="textWrapping"/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habilitarse en Webpack optimizaciones como </w:t>
      </w:r>
      <w:r w:rsidDel="00000000" w:rsidR="00000000" w:rsidRPr="00000000">
        <w:rPr>
          <w:i w:val="1"/>
          <w:rtl w:val="0"/>
        </w:rPr>
        <w:t xml:space="preserve">code splitting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tree shaking</w:t>
      </w:r>
      <w:r w:rsidDel="00000000" w:rsidR="00000000" w:rsidRPr="00000000">
        <w:rPr>
          <w:rtl w:val="0"/>
        </w:rPr>
        <w:t xml:space="preserve"> y modos de producción para minimizar el tamaño de los bundles resultantes.</w:t>
        <w:br w:type="textWrapping"/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Estados y datos:</w:t>
      </w:r>
      <w:r w:rsidDel="00000000" w:rsidR="00000000" w:rsidRPr="00000000">
        <w:rPr>
          <w:rtl w:val="0"/>
        </w:rPr>
        <w:t xml:space="preserve"> Cada MFE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gestionar su propio estado (p.ej. con React Context, Redux, Recoil o similares). No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compartirse estado mutable entre MFEs directamente; cualquier intercambio de datos </w:t>
      </w:r>
      <w:r w:rsidDel="00000000" w:rsidR="00000000" w:rsidRPr="00000000">
        <w:rPr>
          <w:b w:val="1"/>
          <w:rtl w:val="0"/>
        </w:rPr>
        <w:t xml:space="preserve">PUEDE</w:t>
      </w:r>
      <w:r w:rsidDel="00000000" w:rsidR="00000000" w:rsidRPr="00000000">
        <w:rPr>
          <w:rtl w:val="0"/>
        </w:rPr>
        <w:t xml:space="preserve"> realizarse mediante el Shell o API central.</w:t>
        <w:br w:type="textWrapping"/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Reutilización de ItauOne: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duplicarse la implementación de componentes que ya provee ItauOne. Si un componente no existe,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evaluarse extender o solicitar su creación en @itau-one/react. La duplicación innecesaria incrementa el coste de mantenimiento.</w:t>
        <w:br w:type="textWrapping"/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integración: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probarse la integración en conjunto (end-to-end) del Shell con los MFEs, especialmente en cada release mayor, para asegurar que la federación funciona correctamente.</w:t>
        <w:br w:type="textWrapping"/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resumen, el código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mantenerse organizado, documentado y revisado en cada cambio. Estas prácticas reducen la complejidad y facilitan la evolución futura del sistema.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colFirst="0" w:colLast="0" w:name="_a91eo25kxhem" w:id="8"/>
      <w:bookmarkEnd w:id="8"/>
      <w:r w:rsidDel="00000000" w:rsidR="00000000" w:rsidRPr="00000000">
        <w:rPr>
          <w:sz w:val="34"/>
          <w:szCs w:val="34"/>
          <w:rtl w:val="0"/>
        </w:rPr>
        <w:t xml:space="preserve">Referencias Internas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Para detalles adicionales sobre las librerías internas ItauOne, consultar la documentación privada en GitLab de cada paquete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@itau-one/icons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@itau-one/react</w:t>
      </w:r>
      <w:r w:rsidDel="00000000" w:rsidR="00000000" w:rsidRPr="00000000">
        <w:rPr>
          <w:rtl w:val="0"/>
        </w:rPr>
        <w:t xml:space="preserve">). Asimismo, la </w:t>
      </w:r>
      <w:r w:rsidDel="00000000" w:rsidR="00000000" w:rsidRPr="00000000">
        <w:rPr>
          <w:i w:val="1"/>
          <w:rtl w:val="0"/>
        </w:rPr>
        <w:t xml:space="preserve">documentación oficial</w:t>
      </w:r>
      <w:r w:rsidDel="00000000" w:rsidR="00000000" w:rsidRPr="00000000">
        <w:rPr>
          <w:rtl w:val="0"/>
        </w:rPr>
        <w:t xml:space="preserve"> de Webpack Module Federation y ContentStack provee ejemplos útiles (ver referencias). Estas fuentes sirven de soporte a los lineamientos descritos.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