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left"/>
      </w:pPr>
      <w:r>
        <w:rPr>
          <w:b/>
          <w:bCs/>
          <w:sz w:val="48"/>
          <w:szCs w:val="48"/>
        </w:rPr>
        <w:t xml:space="preserve">Companion Statistical Report</w:t>
      </w:r>
    </w:p>
    <w:p>
      <w:pPr>
        <w:spacing w:after="600"/>
      </w:pPr>
      <w:r>
        <w:rPr>
          <w:i w:val="false"/>
          <w:iCs w:val="false"/>
          <w:color w:val="000000"/>
          <w:sz w:val="30"/>
          <w:szCs w:val="30"/>
        </w:rPr>
        <w:t xml:space="preserve">Enriched housing and spatial memory in mice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4"/>
              <w:left w:val="single" w:color="000000" w:sz="4"/>
              <w:bottom w:val="single" w:color="000000" w:sz="4"/>
              <w:right w:val="single" w:color="000000" w:sz="4"/>
            </w:tcBorders>
            <w:shd w:fill="EDEDED" w:val="clear"/>
            <w:tcMar>
              <w:top w:type="dxa" w:w="100"/>
              <w:left w:type="dxa" w:w="140"/>
              <w:bottom w:type="dxa" w:w="100"/>
              <w:right w:type="dxa" w:w="140"/>
            </w:tcMar>
          </w:tcPr>
          <w:p>
            <w:r>
              <w:rPr>
                <w:b/>
                <w:bCs/>
              </w:rPr>
              <w:t xml:space="preserve">Principal investigator</w:t>
            </w:r>
          </w:p>
        </w:tc>
        <w:tc>
          <w:tcPr>
            <w:tcW w:type="dxa" w:w="5826"/>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i w:val="false"/>
                <w:iCs w:val="false"/>
                <w:color w:val="000000"/>
              </w:rPr>
              <w:t xml:space="preserve">Ana Example</w:t>
            </w:r>
          </w:p>
        </w:tc>
      </w:tr>
      <w:tr>
        <w:tc>
          <w:tcPr>
            <w:tcW w:type="dxa" w:w="3200"/>
            <w:tcBorders>
              <w:top w:val="single" w:color="000000" w:sz="4"/>
              <w:left w:val="single" w:color="000000" w:sz="4"/>
              <w:bottom w:val="single" w:color="000000" w:sz="4"/>
              <w:right w:val="single" w:color="000000" w:sz="4"/>
            </w:tcBorders>
            <w:shd w:fill="EDEDED" w:val="clear"/>
            <w:tcMar>
              <w:top w:type="dxa" w:w="100"/>
              <w:left w:type="dxa" w:w="140"/>
              <w:bottom w:type="dxa" w:w="100"/>
              <w:right w:type="dxa" w:w="140"/>
            </w:tcMar>
          </w:tcPr>
          <w:p>
            <w:r>
              <w:rPr>
                <w:b/>
                <w:bCs/>
              </w:rPr>
              <w:t xml:space="preserve">Statistical analyst</w:t>
            </w:r>
          </w:p>
        </w:tc>
        <w:tc>
          <w:tcPr>
            <w:tcW w:type="dxa" w:w="5826"/>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i w:val="false"/>
                <w:iCs w:val="false"/>
                <w:color w:val="000000"/>
              </w:rPr>
              <w:t xml:space="preserve">Bruno Example</w:t>
            </w:r>
          </w:p>
        </w:tc>
      </w:tr>
      <w:tr>
        <w:tc>
          <w:tcPr>
            <w:tcW w:type="dxa" w:w="3200"/>
            <w:tcBorders>
              <w:top w:val="single" w:color="000000" w:sz="4"/>
              <w:left w:val="single" w:color="000000" w:sz="4"/>
              <w:bottom w:val="single" w:color="000000" w:sz="4"/>
              <w:right w:val="single" w:color="000000" w:sz="4"/>
            </w:tcBorders>
            <w:shd w:fill="EDEDED" w:val="clear"/>
            <w:tcMar>
              <w:top w:type="dxa" w:w="100"/>
              <w:left w:type="dxa" w:w="140"/>
              <w:bottom w:type="dxa" w:w="100"/>
              <w:right w:type="dxa" w:w="140"/>
            </w:tcMar>
          </w:tcPr>
          <w:p>
            <w:r>
              <w:rPr>
                <w:b/>
                <w:bCs/>
              </w:rPr>
              <w:t xml:space="preserve">Version code</w:t>
            </w:r>
          </w:p>
        </w:tc>
        <w:tc>
          <w:tcPr>
            <w:tcW w:type="dxa" w:w="5826"/>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i w:val="false"/>
                <w:iCs w:val="false"/>
                <w:color w:val="000000"/>
              </w:rPr>
              <w:t xml:space="preserve">NECS01V01D0001</w:t>
            </w:r>
          </w:p>
        </w:tc>
      </w:tr>
      <w:tr>
        <w:tc>
          <w:tcPr>
            <w:tcW w:type="dxa" w:w="3200"/>
            <w:tcBorders>
              <w:top w:val="single" w:color="000000" w:sz="4"/>
              <w:left w:val="single" w:color="000000" w:sz="4"/>
              <w:bottom w:val="single" w:color="000000" w:sz="4"/>
              <w:right w:val="single" w:color="000000" w:sz="4"/>
            </w:tcBorders>
            <w:shd w:fill="EDEDED" w:val="clear"/>
            <w:tcMar>
              <w:top w:type="dxa" w:w="100"/>
              <w:left w:type="dxa" w:w="140"/>
              <w:bottom w:type="dxa" w:w="100"/>
              <w:right w:type="dxa" w:w="140"/>
            </w:tcMar>
          </w:tcPr>
          <w:p>
            <w:r>
              <w:rPr>
                <w:b/>
                <w:bCs/>
              </w:rPr>
              <w:t xml:space="preserve">Date</w:t>
            </w:r>
          </w:p>
        </w:tc>
        <w:tc>
          <w:tcPr>
            <w:tcW w:type="dxa" w:w="5826"/>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i w:val="false"/>
                <w:iCs w:val="false"/>
                <w:color w:val="000000"/>
              </w:rPr>
              <w:t xml:space="preserve">19 October 2026</w:t>
            </w:r>
          </w:p>
        </w:tc>
      </w:tr>
      <w:tr>
        <w:tc>
          <w:tcPr>
            <w:tcW w:type="dxa" w:w="3200"/>
            <w:tcBorders>
              <w:top w:val="single" w:color="000000" w:sz="4"/>
              <w:left w:val="single" w:color="000000" w:sz="4"/>
              <w:bottom w:val="single" w:color="000000" w:sz="4"/>
              <w:right w:val="single" w:color="000000" w:sz="4"/>
            </w:tcBorders>
            <w:shd w:fill="EDEDED" w:val="clear"/>
            <w:tcMar>
              <w:top w:type="dxa" w:w="100"/>
              <w:left w:type="dxa" w:w="140"/>
              <w:bottom w:type="dxa" w:w="100"/>
              <w:right w:type="dxa" w:w="140"/>
            </w:tcMar>
          </w:tcPr>
          <w:p>
            <w:r>
              <w:rPr>
                <w:b/>
                <w:bCs/>
              </w:rPr>
              <w:t xml:space="preserve">Previous version</w:t>
            </w:r>
          </w:p>
        </w:tc>
        <w:tc>
          <w:tcPr>
            <w:tcW w:type="dxa" w:w="5826"/>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i w:val="false"/>
                <w:iCs w:val="false"/>
                <w:color w:val="000000"/>
              </w:rPr>
              <w:t xml:space="preserve">None (first version)</w:t>
            </w:r>
          </w:p>
        </w:tc>
      </w:tr>
      <w:tr>
        <w:tc>
          <w:tcPr>
            <w:tcW w:type="dxa" w:w="3200"/>
            <w:tcBorders>
              <w:top w:val="single" w:color="000000" w:sz="4"/>
              <w:left w:val="single" w:color="000000" w:sz="4"/>
              <w:bottom w:val="single" w:color="000000" w:sz="4"/>
              <w:right w:val="single" w:color="000000" w:sz="4"/>
            </w:tcBorders>
            <w:shd w:fill="EDEDED" w:val="clear"/>
            <w:tcMar>
              <w:top w:type="dxa" w:w="100"/>
              <w:left w:type="dxa" w:w="140"/>
              <w:bottom w:type="dxa" w:w="100"/>
              <w:right w:type="dxa" w:w="140"/>
            </w:tcMar>
          </w:tcPr>
          <w:p>
            <w:r>
              <w:rPr>
                <w:b/>
                <w:bCs/>
              </w:rPr>
              <w:t xml:space="preserve">Confidentiality</w:t>
            </w:r>
          </w:p>
        </w:tc>
        <w:tc>
          <w:tcPr>
            <w:tcW w:type="dxa" w:w="5826"/>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i w:val="false"/>
                <w:iCs w:val="false"/>
                <w:color w:val="000000"/>
              </w:rPr>
              <w:t xml:space="preserve">Supplementary material for peer review.</w:t>
            </w:r>
          </w:p>
        </w:tc>
      </w:tr>
    </w:tbl>
    <w:p>
      <w:pPr>
        <w:spacing w:before="600"/>
      </w:pPr>
      <w:r>
        <w:rPr>
          <w:i/>
          <w:iCs/>
          <w:color w:val="808080"/>
          <w:sz w:val="20"/>
          <w:szCs w:val="20"/>
        </w:rPr>
        <w:t xml:space="preserve">Teaching example prepared for NTS School 2026, Montevideo. The data are simulated.</w:t>
      </w:r>
    </w:p>
    <w:p>
      <w:r>
        <w:br w:type="page"/>
      </w:r>
    </w:p>
    <w:p>
      <w:pPr>
        <w:spacing w:after="120"/>
      </w:pPr>
      <w:r>
        <w:rPr>
          <w:b/>
          <w:bCs/>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808080"/>
          <w:sz w:val="18"/>
          <w:szCs w:val="18"/>
        </w:rPr>
        <w:t xml:space="preserve">(Right-click the table and choose Update Field if it appears empty.)</w:t>
      </w:r>
    </w:p>
    <w:p>
      <w:r>
        <w:br w:type="page"/>
      </w:r>
    </w:p>
    <w:p>
      <w:pPr>
        <w:pStyle w:val="Heading1"/>
      </w:pPr>
      <w:r>
        <w:t xml:space="preserve">1. About this document</w:t>
      </w:r>
    </w:p>
    <w:p>
      <w:pPr>
        <w:spacing w:after="140"/>
      </w:pPr>
      <w:r>
        <w:t xml:space="preserve">This Companion Statistical Report (CSR) accompanies the manuscript named on the cover. It records every decision taken between the raw data and the numbers reported in the paper, in the order in which they were taken.</w:t>
      </w:r>
    </w:p>
    <w:p>
      <w:pPr>
        <w:pStyle w:val="Heading1"/>
      </w:pPr>
      <w:r>
        <w:t xml:space="preserve">2. Analysis request and scope</w:t>
      </w:r>
    </w:p>
    <w:p>
      <w:pPr>
        <w:spacing w:after="140"/>
      </w:pPr>
      <w:r>
        <w:rPr>
          <w:b/>
          <w:bCs/>
        </w:rPr>
        <w:t xml:space="preserve">Question. </w:t>
      </w:r>
      <w:r>
        <w:t xml:space="preserve">Do mice housed in an enriched environment find the hidden platform of a water maze faster than mice in standard housing?</w:t>
      </w:r>
    </w:p>
    <w:p>
      <w:pPr>
        <w:spacing w:after="140"/>
      </w:pPr>
      <w:r>
        <w:rPr>
          <w:b/>
          <w:bCs/>
        </w:rPr>
        <w:t xml:space="preserve">Primary outcome. </w:t>
      </w:r>
      <w:r>
        <w:t xml:space="preserve">Escape latency (s) on the probe day, averaged over four trials per mouse.</w:t>
      </w:r>
    </w:p>
    <w:p>
      <w:pPr>
        <w:spacing w:after="140"/>
      </w:pPr>
      <w:r>
        <w:rPr>
          <w:b/>
          <w:bCs/>
        </w:rPr>
        <w:t xml:space="preserve">Hypothesis. </w:t>
      </w:r>
      <w:r>
        <w:t xml:space="preserve">Enriched mice have a shorter mean latency than standard-housed mice.</w:t>
      </w:r>
    </w:p>
    <w:p>
      <w:pPr>
        <w:spacing w:after="140"/>
      </w:pPr>
      <w:r>
        <w:rPr>
          <w:b/>
          <w:bCs/>
        </w:rPr>
        <w:t xml:space="preserve">Effect to be reported. </w:t>
      </w:r>
      <w:r>
        <w:t xml:space="preserve">Difference in mean latency (standard minus enriched), with its 95% confidence interval.</w:t>
      </w:r>
    </w:p>
    <w:p>
      <w:pPr>
        <w:spacing w:after="140"/>
      </w:pPr>
      <w:r>
        <w:rPr>
          <w:b/>
          <w:bCs/>
        </w:rPr>
        <w:t xml:space="preserve">Changes from the previous version. </w:t>
      </w:r>
      <w:r>
        <w:t xml:space="preserve">None.</w:t>
      </w:r>
    </w:p>
    <w:p>
      <w:pPr>
        <w:pStyle w:val="Heading1"/>
      </w:pPr>
      <w:r>
        <w:t xml:space="preserve">3. Data provenance and preprocessing</w:t>
      </w:r>
    </w:p>
    <w:p>
      <w:pPr>
        <w:pStyle w:val="Heading2"/>
      </w:pPr>
      <w:r>
        <w:t xml:space="preserve">3.1 Data source and collection</w:t>
      </w:r>
    </w:p>
    <w:p>
      <w:pPr>
        <w:spacing w:after="140"/>
      </w:pPr>
      <w:r>
        <w:t xml:space="preserve">Twelve male C57BL/6 mice (six per housing condition) were tested in the Morris water maze. Each mouse performed four trials on the probe day; trials were capped at 60 s. Raw file: maze.csv (one row per trial), deposited in the project repository on 10 March 2026 before analysis.</w:t>
      </w:r>
    </w:p>
    <w:p>
      <w:pPr>
        <w:pStyle w:val="Heading2"/>
      </w:pPr>
      <w:r>
        <w:t xml:space="preserve">3.2 Unit of analysis</w:t>
      </w:r>
    </w:p>
    <w:p>
      <w:pPr>
        <w:spacing w:after="140"/>
      </w:pPr>
      <w:r>
        <w:t xml:space="preserve">The mouse is the experimental unit, because housing was assigned to each mouse. The four trials of one mouse are not independent and were averaged within mouse before any comparison (n = 12, not 48).</w:t>
      </w:r>
    </w:p>
    <w:p>
      <w:pPr>
        <w:pStyle w:val="Heading2"/>
      </w:pPr>
      <w:r>
        <w:t xml:space="preserve">3.3 Cleaning and exclusions</w:t>
      </w:r>
    </w:p>
    <w:p>
      <w:pPr>
        <w:spacing w:after="140"/>
      </w:pPr>
      <w:r>
        <w:t xml:space="preserve">Exclusion rule, written in protocol v1 (2 March 2026), before testing: a mouse is excluded if it reaches 58 s in at least three of its four trials (non-swimming or floating).</w:t>
      </w:r>
    </w:p>
    <w:p>
      <w:pPr>
        <w:spacing w:after="140"/>
      </w:pPr>
      <w:r>
        <w:t xml:space="preserve">One mouse met the rule: M09 (enriched group; 60.0, 60.0, 58.4 and 60.0 s). Final sample: 6 standard, 5 enriched. No missing values.</w:t>
      </w:r>
    </w:p>
    <w:p>
      <w:pPr>
        <w:pStyle w:val="Heading1"/>
      </w:pPr>
      <w:r>
        <w:t xml:space="preserve">4. Exploratory data analysis</w:t>
      </w:r>
    </w:p>
    <w:p>
      <w:pPr>
        <w:spacing w:after="140"/>
      </w:pPr>
      <w:r>
        <w:t xml:space="preserve">Mouse means per group, after the exclusion: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200"/>
        <w:gridCol w:w="2200"/>
      </w:tblGrid>
      <w:tr>
        <w:trPr>
          <w:tblHeader/>
        </w:trPr>
        <w:tc>
          <w:tcPr>
            <w:tcW w:type="dxa" w:w="3000"/>
            <w:tcBorders>
              <w:top w:val="single" w:color="000000" w:sz="4"/>
              <w:left w:val="single" w:color="000000" w:sz="4"/>
              <w:bottom w:val="single" w:color="000000" w:sz="4"/>
              <w:right w:val="single" w:color="000000" w:sz="4"/>
            </w:tcBorders>
            <w:shd w:fill="EDEDED" w:val="clear"/>
            <w:tcMar>
              <w:top w:type="dxa" w:w="60"/>
              <w:left w:type="dxa" w:w="120"/>
              <w:bottom w:type="dxa" w:w="60"/>
              <w:right w:type="dxa" w:w="120"/>
            </w:tcMar>
          </w:tcPr>
          <w:p>
            <w:r>
              <w:rPr>
                <w:b/>
                <w:bCs/>
              </w:rPr>
              <w:t xml:space="preserve">Group</w:t>
            </w:r>
          </w:p>
        </w:tc>
        <w:tc>
          <w:tcPr>
            <w:tcW w:type="dxa" w:w="1500"/>
            <w:tcBorders>
              <w:top w:val="single" w:color="000000" w:sz="4"/>
              <w:left w:val="single" w:color="000000" w:sz="4"/>
              <w:bottom w:val="single" w:color="000000" w:sz="4"/>
              <w:right w:val="single" w:color="000000" w:sz="4"/>
            </w:tcBorders>
            <w:shd w:fill="EDEDED" w:val="clear"/>
            <w:tcMar>
              <w:top w:type="dxa" w:w="60"/>
              <w:left w:type="dxa" w:w="120"/>
              <w:bottom w:type="dxa" w:w="60"/>
              <w:right w:type="dxa" w:w="120"/>
            </w:tcMar>
          </w:tcPr>
          <w:p>
            <w:r>
              <w:rPr>
                <w:b/>
                <w:bCs/>
              </w:rPr>
              <w:t xml:space="preserve">n</w:t>
            </w:r>
          </w:p>
        </w:tc>
        <w:tc>
          <w:tcPr>
            <w:tcW w:type="dxa" w:w="2200"/>
            <w:tcBorders>
              <w:top w:val="single" w:color="000000" w:sz="4"/>
              <w:left w:val="single" w:color="000000" w:sz="4"/>
              <w:bottom w:val="single" w:color="000000" w:sz="4"/>
              <w:right w:val="single" w:color="000000" w:sz="4"/>
            </w:tcBorders>
            <w:shd w:fill="EDEDED" w:val="clear"/>
            <w:tcMar>
              <w:top w:type="dxa" w:w="60"/>
              <w:left w:type="dxa" w:w="120"/>
              <w:bottom w:type="dxa" w:w="60"/>
              <w:right w:type="dxa" w:w="120"/>
            </w:tcMar>
          </w:tcPr>
          <w:p>
            <w:r>
              <w:rPr>
                <w:b/>
                <w:bCs/>
              </w:rPr>
              <w:t xml:space="preserve">Mean (s)</w:t>
            </w:r>
          </w:p>
        </w:tc>
        <w:tc>
          <w:tcPr>
            <w:tcW w:type="dxa" w:w="2200"/>
            <w:tcBorders>
              <w:top w:val="single" w:color="000000" w:sz="4"/>
              <w:left w:val="single" w:color="000000" w:sz="4"/>
              <w:bottom w:val="single" w:color="000000" w:sz="4"/>
              <w:right w:val="single" w:color="000000" w:sz="4"/>
            </w:tcBorders>
            <w:shd w:fill="EDEDED" w:val="clear"/>
            <w:tcMar>
              <w:top w:type="dxa" w:w="60"/>
              <w:left w:type="dxa" w:w="120"/>
              <w:bottom w:type="dxa" w:w="60"/>
              <w:right w:type="dxa" w:w="120"/>
            </w:tcMar>
          </w:tcPr>
          <w:p>
            <w:r>
              <w:rPr>
                <w:b/>
                <w:bCs/>
              </w:rPr>
              <w:t xml:space="preserve">SD (s)</w:t>
            </w:r>
          </w:p>
        </w:tc>
      </w:tr>
      <w:tr>
        <w:trPr>
          <w:tblHeader w:val="off"/>
        </w:trPr>
        <w:tc>
          <w:tcPr>
            <w:tcW w:type="dxa" w:w="3000"/>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Standard</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6</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35.7</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6.2</w:t>
            </w:r>
          </w:p>
        </w:tc>
      </w:tr>
      <w:tr>
        <w:trPr>
          <w:tblHeader w:val="off"/>
        </w:trPr>
        <w:tc>
          <w:tcPr>
            <w:tcW w:type="dxa" w:w="3000"/>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Enriched</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5</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25.6</w:t>
            </w:r>
          </w:p>
        </w:tc>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7.2</w:t>
            </w:r>
          </w:p>
        </w:tc>
      </w:tr>
    </w:tbl>
    <w:p>
      <w:pPr>
        <w:spacing w:after="140"/>
      </w:pPr>
      <w:r>
        <w:t xml:space="preserve"/>
      </w:r>
    </w:p>
    <w:p>
      <w:pPr>
        <w:spacing w:after="140"/>
      </w:pPr>
      <w:r>
        <w:t xml:space="preserve">A dot plot of mouse means (Figure E1, attached) showed no strong skew in either group after the exclusion. Trial-level values are shown in grey for reference.</w:t>
      </w:r>
    </w:p>
    <w:p>
      <w:pPr>
        <w:pStyle w:val="Heading1"/>
      </w:pPr>
      <w:r>
        <w:t xml:space="preserve">5. Statistical models</w:t>
      </w:r>
    </w:p>
    <w:p>
      <w:pPr>
        <w:pStyle w:val="Heading2"/>
      </w:pPr>
      <w:r>
        <w:t xml:space="preserve">5.1 Model specification</w:t>
      </w:r>
    </w:p>
    <w:p>
      <w:pPr>
        <w:spacing w:after="140"/>
      </w:pPr>
      <w:r>
        <w:t xml:space="preserve">Welch two-sample t-test comparing mouse means between housing conditions. Welch's version was chosen because it does not assume equal variances. Software: R 4.5.1, function t.test().</w:t>
      </w:r>
    </w:p>
    <w:p>
      <w:pPr>
        <w:pStyle w:val="Heading2"/>
      </w:pPr>
      <w:r>
        <w:t xml:space="preserve">5.2 Assumption checks</w:t>
      </w:r>
    </w:p>
    <w:p>
      <w:pPr>
        <w:spacing w:after="140"/>
      </w:pPr>
      <w:r>
        <w:t xml:space="preserve">Independence holds at the mouse level by design. With five or six mice per group, formal normality tests have little power; normality was judged from the dot plot of mouse means instead.</w:t>
      </w:r>
    </w:p>
    <w:p>
      <w:pPr>
        <w:pStyle w:val="Heading1"/>
      </w:pPr>
      <w:r>
        <w:t xml:space="preserve">6. Inference and effect sizes</w:t>
      </w:r>
    </w:p>
    <w:p>
      <w:pPr>
        <w:spacing w:after="140"/>
      </w:pPr>
      <w:r>
        <w:t xml:space="preserve">Standard-housed mice took on average 10.1 s longer to reach the platform than enriched mice (95% CI 0.7 to 19.6 s; Welch t = 2.47, df = 8.0, p = 0.039).</w:t>
      </w:r>
    </w:p>
    <w:p>
      <w:pPr>
        <w:pStyle w:val="Heading1"/>
      </w:pPr>
      <w:r>
        <w:t xml:space="preserve">7. Sensitivity analyses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2000"/>
        <w:gridCol w:w="1326"/>
      </w:tblGrid>
      <w:tr>
        <w:trPr>
          <w:tblHeader/>
        </w:trPr>
        <w:tc>
          <w:tcPr>
            <w:tcW w:type="dxa" w:w="4200"/>
            <w:tcBorders>
              <w:top w:val="single" w:color="000000" w:sz="4"/>
              <w:left w:val="single" w:color="000000" w:sz="4"/>
              <w:bottom w:val="single" w:color="000000" w:sz="4"/>
              <w:right w:val="single" w:color="000000" w:sz="4"/>
            </w:tcBorders>
            <w:shd w:fill="EDEDED" w:val="clear"/>
            <w:tcMar>
              <w:top w:type="dxa" w:w="60"/>
              <w:left w:type="dxa" w:w="120"/>
              <w:bottom w:type="dxa" w:w="60"/>
              <w:right w:type="dxa" w:w="120"/>
            </w:tcMar>
          </w:tcPr>
          <w:p>
            <w:r>
              <w:rPr>
                <w:b/>
                <w:bCs/>
              </w:rPr>
              <w:t xml:space="preserve">Analysis</w:t>
            </w:r>
          </w:p>
        </w:tc>
        <w:tc>
          <w:tcPr>
            <w:tcW w:type="dxa" w:w="1500"/>
            <w:tcBorders>
              <w:top w:val="single" w:color="000000" w:sz="4"/>
              <w:left w:val="single" w:color="000000" w:sz="4"/>
              <w:bottom w:val="single" w:color="000000" w:sz="4"/>
              <w:right w:val="single" w:color="000000" w:sz="4"/>
            </w:tcBorders>
            <w:shd w:fill="EDEDED" w:val="clear"/>
            <w:tcMar>
              <w:top w:type="dxa" w:w="60"/>
              <w:left w:type="dxa" w:w="120"/>
              <w:bottom w:type="dxa" w:w="60"/>
              <w:right w:type="dxa" w:w="120"/>
            </w:tcMar>
          </w:tcPr>
          <w:p>
            <w:r>
              <w:rPr>
                <w:b/>
                <w:bCs/>
              </w:rPr>
              <w:t xml:space="preserve">Difference (s)</w:t>
            </w:r>
          </w:p>
        </w:tc>
        <w:tc>
          <w:tcPr>
            <w:tcW w:type="dxa" w:w="2000"/>
            <w:tcBorders>
              <w:top w:val="single" w:color="000000" w:sz="4"/>
              <w:left w:val="single" w:color="000000" w:sz="4"/>
              <w:bottom w:val="single" w:color="000000" w:sz="4"/>
              <w:right w:val="single" w:color="000000" w:sz="4"/>
            </w:tcBorders>
            <w:shd w:fill="EDEDED" w:val="clear"/>
            <w:tcMar>
              <w:top w:type="dxa" w:w="60"/>
              <w:left w:type="dxa" w:w="120"/>
              <w:bottom w:type="dxa" w:w="60"/>
              <w:right w:type="dxa" w:w="120"/>
            </w:tcMar>
          </w:tcPr>
          <w:p>
            <w:r>
              <w:rPr>
                <w:b/>
                <w:bCs/>
              </w:rPr>
              <w:t xml:space="preserve">95% CI</w:t>
            </w:r>
          </w:p>
        </w:tc>
        <w:tc>
          <w:tcPr>
            <w:tcW w:type="dxa" w:w="1326"/>
            <w:tcBorders>
              <w:top w:val="single" w:color="000000" w:sz="4"/>
              <w:left w:val="single" w:color="000000" w:sz="4"/>
              <w:bottom w:val="single" w:color="000000" w:sz="4"/>
              <w:right w:val="single" w:color="000000" w:sz="4"/>
            </w:tcBorders>
            <w:shd w:fill="EDEDED" w:val="clear"/>
            <w:tcMar>
              <w:top w:type="dxa" w:w="60"/>
              <w:left w:type="dxa" w:w="120"/>
              <w:bottom w:type="dxa" w:w="60"/>
              <w:right w:type="dxa" w:w="120"/>
            </w:tcMar>
          </w:tcPr>
          <w:p>
            <w:r>
              <w:rPr>
                <w:b/>
                <w:bCs/>
              </w:rPr>
              <w:t xml:space="preserve">p</w:t>
            </w:r>
          </w:p>
        </w:tc>
      </w:tr>
      <w:tr>
        <w:trPr>
          <w:tblHeader w:val="off"/>
        </w:trPr>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Primary: mouse means, M09 excluded</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10.1</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0.7 to 19.6</w:t>
            </w:r>
          </w:p>
        </w:tc>
        <w:tc>
          <w:tcPr>
            <w:tcW w:type="dxa" w:w="1326"/>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0.039</w:t>
            </w:r>
          </w:p>
        </w:tc>
      </w:tr>
      <w:tr>
        <w:trPr>
          <w:tblHeader w:val="off"/>
        </w:trPr>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M09 kept</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4.5</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−11.7 to 20.6</w:t>
            </w:r>
          </w:p>
        </w:tc>
        <w:tc>
          <w:tcPr>
            <w:tcW w:type="dxa" w:w="1326"/>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0.53</w:t>
            </w:r>
          </w:p>
        </w:tc>
      </w:tr>
      <w:tr>
        <w:trPr>
          <w:tblHeader w:val="off"/>
        </w:trPr>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Trials as n (not appropriate; shown for comparison)</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10.1</w:t>
            </w:r>
          </w:p>
        </w:tc>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5.5 to 14.7</w:t>
            </w:r>
          </w:p>
        </w:tc>
        <w:tc>
          <w:tcPr>
            <w:tcW w:type="dxa" w:w="1326"/>
            <w:tcBorders>
              <w:top w:val="single" w:color="000000" w:sz="4"/>
              <w:left w:val="single" w:color="000000" w:sz="4"/>
              <w:bottom w:val="single" w:color="000000" w:sz="4"/>
              <w:right w:val="single" w:color="000000" w:sz="4"/>
            </w:tcBorders>
            <w:tcMar>
              <w:top w:type="dxa" w:w="60"/>
              <w:left w:type="dxa" w:w="120"/>
              <w:bottom w:type="dxa" w:w="60"/>
              <w:right w:type="dxa" w:w="120"/>
            </w:tcMar>
          </w:tcPr>
          <w:p>
            <w:r>
              <w:t xml:space="preserve">0.00007</w:t>
            </w:r>
          </w:p>
        </w:tc>
      </w:tr>
    </w:tbl>
    <w:p>
      <w:pPr>
        <w:spacing w:after="140"/>
      </w:pPr>
      <w:r>
        <w:t xml:space="preserve"/>
      </w:r>
    </w:p>
    <w:p>
      <w:pPr>
        <w:spacing w:after="140"/>
      </w:pPr>
      <w:r>
        <w:t xml:space="preserve">The conclusion depends on the exclusion of M09. The rule was fixed before testing, so the primary analysis stands, but the dependence is reported and a larger replication is recommended.</w:t>
      </w:r>
    </w:p>
    <w:p>
      <w:pPr>
        <w:pStyle w:val="Heading1"/>
      </w:pPr>
      <w:r>
        <w:t xml:space="preserve">8. Figures and tables for the main manuscript</w:t>
      </w:r>
    </w:p>
    <w:p>
      <w:pPr>
        <w:spacing w:after="140"/>
      </w:pPr>
      <w:r>
        <w:t xml:space="preserve">Figure 1 of the manuscript: mouse means per group, with group mean and 95% CI. Produced from maze.csv with the script csr_demo.qmd (version NECS01V01D0001).</w:t>
      </w:r>
    </w:p>
    <w:p>
      <w:pPr>
        <w:pStyle w:val="Heading1"/>
      </w:pPr>
      <w:r>
        <w:t xml:space="preserve">9. Conclusions and next steps</w:t>
      </w:r>
    </w:p>
    <w:p>
      <w:pPr>
        <w:spacing w:after="140"/>
      </w:pPr>
      <w:r>
        <w:t xml:space="preserve">Under the pre-specified analysis, enriched housing was associated with shorter escape latencies. The interval is wide and the result depends on one exclusion. Next study: sample size calculated for a 10 s difference, pre-registered.</w:t>
      </w:r>
    </w:p>
    <w:p>
      <w:pPr>
        <w:pStyle w:val="Heading1"/>
      </w:pPr>
      <w:r>
        <w:t xml:space="preserve">10. References</w:t>
      </w:r>
    </w:p>
    <w:p>
      <w:pPr>
        <w:spacing w:after="140"/>
      </w:pPr>
      <w:r>
        <w:t xml:space="preserve">Welch BL. The generalization of Student's problem when several different population variances are involved. Biometrika 1947;34:28–35.</w:t>
      </w:r>
    </w:p>
    <w:p>
      <w:pPr>
        <w:pStyle w:val="Heading1"/>
      </w:pPr>
      <w:r>
        <w:t xml:space="preserve">11. Session information</w:t>
      </w:r>
    </w:p>
    <w:p>
      <w:pPr>
        <w:spacing w:after="140"/>
      </w:pPr>
      <w:r>
        <w:t xml:space="preserve">R 4.5.1 (2025-06-13), base packages only (stats, graphics). Operating system: macOS 15. Analysis run on 19 October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CSR · NECS01V01D0001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0000" w:sz="8" w:space="4"/>
      </w:pBdr>
      <w:spacing w:after="160" w:before="360"/>
      <w:outlineLvl w:val="0"/>
    </w:pPr>
    <w:rPr>
      <w:rFonts w:ascii="Arial" w:cs="Arial" w:eastAsia="Arial" w:hAnsi="Arial"/>
      <w:b/>
      <w:bCs/>
      <w:color w:val="000000"/>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Companion Statistical Report</dc:title>
  <dc:creator>LabInfoS / NEC, UERJ</dc:creator>
  <cp:lastModifiedBy>Un-named</cp:lastModifiedBy>
  <cp:revision>1</cp:revision>
  <dcterms:created xsi:type="dcterms:W3CDTF">2026-10-19T19:38:55.959Z</dcterms:created>
  <dcterms:modified xsi:type="dcterms:W3CDTF">2026-10-19T19:38:55.959Z</dcterms:modified>
</cp:coreProperties>
</file>

<file path=docProps/custom.xml><?xml version="1.0" encoding="utf-8"?>
<Properties xmlns="http://schemas.openxmlformats.org/officeDocument/2006/custom-properties" xmlns:vt="http://schemas.openxmlformats.org/officeDocument/2006/docPropsVTypes"/>
</file>