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Choices · Run Report</w:t>
      </w:r>
    </w:p>
    <w:p>
      <w:pPr>
        <w:pStyle w:val="Heading2"/>
      </w:pPr>
      <w:r>
        <w:t xml:space="preserve">HireSight: An AI Hiring Platform</w:t>
      </w:r>
    </w:p>
    <w:p>
      <w:pPr>
        <w:pStyle w:val="Normal"/>
      </w:pPr>
      <w:r>
        <w:t xml:space="preserve">Algorithmic scoring, worker rights and talent data</w:t>
      </w:r>
    </w:p>
    <w:p>
      <w:pPr>
        <w:pStyle w:val="Normal"/>
      </w:pPr>
      <w:r>
        <w:t xml:space="preserve">Exported 16/10/2026, 09:12:35</w:t>
      </w:r>
    </w:p>
    <w:p>
      <w:pPr>
        <w:pStyle w:val="Heading1"/>
      </w:pPr>
      <w:r>
        <w:t xml:space="preserve">Ending: Users Finally Find Out They Were Sold</w:t>
      </w:r>
    </w:p>
    <w:p>
      <w:pPr>
        <w:pStyle w:val="Normal"/>
      </w:pPr>
      <w:r>
        <w:t xml:space="preserve">Type: Fail</w:t>
      </w:r>
    </w:p>
    <w:p>
      <w:pPr>
        <w:pStyle w:val="Normal"/>
      </w:pPr>
      <w:r>
        <w:t xml:space="preserve">Outcome quadrant: High risk × strong value · 😭 Boom-then-bust</w:t>
      </w:r>
    </w:p>
    <w:p>
      <w:pPr>
        <w:pStyle w:val="Heading1"/>
      </w:pPr>
      <w:r>
        <w:t xml:space="preserve">1. THE VENTURE · READ THIS FIRST</w:t>
      </w:r>
    </w:p>
    <w:tbl>
      <w:tblPr>
        <w:tblStyle w:val="TableGrid"/>
        <w:tblW w:w="9638" w:type="dxa"/>
      </w:tblPr>
      <w:tr>
        <w:tc>
          <w:tcPr>
            <w:tcW w:w="0" w:type="auto"/>
          </w:tcPr>
          <w:p>
            <w:pPr>
              <w:pStyle w:val="TableText"/>
            </w:pPr>
            <w:r>
              <w:t xml:space="preserve">What it does</w:t>
            </w:r>
          </w:p>
        </w:tc>
        <w:tc>
          <w:tcPr>
            <w:tcW w:w="0" w:type="auto"/>
          </w:tcPr>
          <w:p>
            <w:pPr>
              <w:pStyle w:val="TableText"/>
            </w:pPr>
            <w:r>
              <w:t xml:space="preserve">A CV-screening tool for HR: upload a batch of CVs and the model scores and ranks each candidate against the job spec; it can later extend into interview coaching and skills assessment.</w:t>
            </w:r>
          </w:p>
        </w:tc>
      </w:tr>
      <w:tr>
        <w:tc>
          <w:tcPr>
            <w:tcW w:w="0" w:type="auto"/>
          </w:tcPr>
          <w:p>
            <w:pPr>
              <w:pStyle w:val="TableText"/>
            </w:pPr>
            <w:r>
              <w:t xml:space="preserve">Who buys it</w:t>
            </w:r>
          </w:p>
        </w:tc>
        <w:tc>
          <w:tcPr>
            <w:tcW w:w="0" w:type="auto"/>
          </w:tcPr>
          <w:p>
            <w:pPr>
              <w:pStyle w:val="TableText"/>
            </w:pPr>
            <w:r>
              <w:t xml:space="preserve">HR teams and recruitment outsourcers at small and mid-sized firms; university careers services are also potential buyers.</w:t>
            </w:r>
          </w:p>
        </w:tc>
      </w:tr>
      <w:tr>
        <w:tc>
          <w:tcPr>
            <w:tcW w:w="0" w:type="auto"/>
          </w:tcPr>
          <w:p>
            <w:pPr>
              <w:pStyle w:val="TableText"/>
            </w:pPr>
            <w:r>
              <w:t xml:space="preserve">Where it stands</w:t>
            </w:r>
          </w:p>
        </w:tc>
        <w:tc>
          <w:tcPr>
            <w:tcW w:w="0" w:type="auto"/>
          </w:tcPr>
          <w:p>
            <w:pPr>
              <w:pStyle w:val="TableText"/>
            </w:pPr>
            <w:r>
              <w:t xml:space="preserve">Version one is finished in the incubator and a local manufacturer is paying for a pilot. Three people, pricing not settled.</w:t>
            </w:r>
          </w:p>
        </w:tc>
      </w:tr>
      <w:tr>
        <w:tc>
          <w:tcPr>
            <w:tcW w:w="0" w:type="auto"/>
          </w:tcPr>
          <w:p>
            <w:pPr>
              <w:pStyle w:val="TableText"/>
            </w:pPr>
            <w:r>
              <w:t xml:space="preserve">Data it touches</w:t>
            </w:r>
          </w:p>
        </w:tc>
        <w:tc>
          <w:tcPr>
            <w:tcW w:w="0" w:type="auto"/>
          </w:tcPr>
          <w:p>
            <w:pPr>
              <w:pStyle w:val="TableText"/>
            </w:pPr>
            <w:r>
              <w:t xml:space="preserve">Identities, education, work history and assessment results from CVs. If scoring feeds who gets an interview, that is automated decision-making — candidates normally have the right to know and to ask for human review.</w:t>
            </w:r>
          </w:p>
        </w:tc>
      </w:tr>
    </w:tbl>
    <w:p>
      <w:pPr>
        <w:pStyle w:val="Heading1"/>
      </w:pPr>
      <w:r>
        <w:t xml:space="preserve">2. Score ledger</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Start → Final</w:t>
            </w:r>
          </w:p>
        </w:tc>
        <w:tc>
          <w:tcPr>
            <w:tcW w:w="0" w:type="auto"/>
          </w:tcPr>
          <w:p>
            <w:pPr>
              <w:pStyle w:val="TableText"/>
            </w:pPr>
            <w:r>
              <w:t xml:space="preserve">Net</w:t>
            </w:r>
          </w:p>
        </w:tc>
        <w:tc>
          <w:tcPr>
            <w:tcW w:w="0" w:type="auto"/>
          </w:tcPr>
          <w:p>
            <w:pPr>
              <w:pStyle w:val="TableText"/>
            </w:pPr>
            <w:r>
              <w:t xml:space="preserve">Verdict</w:t>
            </w:r>
          </w:p>
        </w:tc>
      </w:tr>
      <w:tr>
        <w:tc>
          <w:tcPr>
            <w:tcW w:w="0" w:type="auto"/>
          </w:tcPr>
          <w:p>
            <w:pPr>
              <w:pStyle w:val="TableText"/>
            </w:pPr>
            <w:r>
              <w:t xml:space="preserve">National security risk</w:t>
            </w:r>
          </w:p>
        </w:tc>
        <w:tc>
          <w:tcPr>
            <w:tcW w:w="0" w:type="auto"/>
          </w:tcPr>
          <w:p>
            <w:pPr>
              <w:pStyle w:val="TableText"/>
            </w:pPr>
            <w:r>
              <w:t xml:space="preserve">0 → 1</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Legal compliance risk</w:t>
            </w:r>
          </w:p>
        </w:tc>
        <w:tc>
          <w:tcPr>
            <w:tcW w:w="0" w:type="auto"/>
          </w:tcPr>
          <w:p>
            <w:pPr>
              <w:pStyle w:val="TableText"/>
            </w:pPr>
            <w:r>
              <w:t xml:space="preserve">0 → 3</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Ethics and trust risk</w:t>
            </w:r>
          </w:p>
        </w:tc>
        <w:tc>
          <w:tcPr>
            <w:tcW w:w="0" w:type="auto"/>
          </w:tcPr>
          <w:p>
            <w:pPr>
              <w:pStyle w:val="TableText"/>
            </w:pPr>
            <w:r>
              <w:t xml:space="preserve">0 → 6</w:t>
            </w:r>
          </w:p>
        </w:tc>
        <w:tc>
          <w:tcPr>
            <w:tcW w:w="0" w:type="auto"/>
          </w:tcPr>
          <w:p>
            <w:pPr>
              <w:pStyle w:val="TableText"/>
            </w:pPr>
            <w:r>
              <w:t xml:space="preserve">+6</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 → 9</w:t>
            </w:r>
          </w:p>
        </w:tc>
        <w:tc>
          <w:tcPr>
            <w:tcW w:w="0" w:type="auto"/>
          </w:tcPr>
          <w:p>
            <w:pPr>
              <w:pStyle w:val="TableText"/>
            </w:pPr>
            <w:r>
              <w:t xml:space="preserve">+8</w:t>
            </w:r>
          </w:p>
        </w:tc>
        <w:tc>
          <w:tcPr>
            <w:tcW w:w="0" w:type="auto"/>
          </w:tcPr>
          <w:p>
            <w:pPr>
              <w:pStyle w:val="TableText"/>
            </w:pPr>
            <w:r>
              <w:t xml:space="preserve">worse</w:t>
            </w:r>
          </w:p>
        </w:tc>
      </w:tr>
      <w:tr>
        <w:tc>
          <w:tcPr>
            <w:tcW w:w="0" w:type="auto"/>
          </w:tcPr>
          <w:p>
            <w:pPr>
              <w:pStyle w:val="TableText"/>
            </w:pPr>
            <w:r>
              <w:t xml:space="preserve">Problem–solution fit</w:t>
            </w:r>
          </w:p>
        </w:tc>
        <w:tc>
          <w:tcPr>
            <w:tcW w:w="0" w:type="auto"/>
          </w:tcPr>
          <w:p>
            <w:pPr>
              <w:pStyle w:val="TableText"/>
            </w:pPr>
            <w:r>
              <w:t xml:space="preserve">2 → 8</w:t>
            </w:r>
          </w:p>
        </w:tc>
        <w:tc>
          <w:tcPr>
            <w:tcW w:w="0" w:type="auto"/>
          </w:tcPr>
          <w:p>
            <w:pPr>
              <w:pStyle w:val="TableText"/>
            </w:pPr>
            <w:r>
              <w:t xml:space="preserve">+6</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2 → 9</w:t>
            </w:r>
          </w:p>
        </w:tc>
        <w:tc>
          <w:tcPr>
            <w:tcW w:w="0" w:type="auto"/>
          </w:tcPr>
          <w:p>
            <w:pPr>
              <w:pStyle w:val="TableText"/>
            </w:pPr>
            <w:r>
              <w:t xml:space="preserve">+7</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 → 7</w:t>
            </w:r>
          </w:p>
        </w:tc>
        <w:tc>
          <w:tcPr>
            <w:tcW w:w="0" w:type="auto"/>
          </w:tcPr>
          <w:p>
            <w:pPr>
              <w:pStyle w:val="TableText"/>
            </w:pPr>
            <w:r>
              <w:t xml:space="preserve">+6</w:t>
            </w:r>
          </w:p>
        </w:tc>
        <w:tc>
          <w:tcPr>
            <w:tcW w:w="0" w:type="auto"/>
          </w:tcPr>
          <w:p>
            <w:pPr>
              <w:pStyle w:val="TableText"/>
            </w:pPr>
            <w:r>
              <w:t xml:space="preserve">better</w:t>
            </w:r>
          </w:p>
        </w:tc>
      </w:tr>
    </w:tbl>
    <w:p>
      <w:pPr>
        <w:pStyle w:val="Heading1"/>
      </w:pPr>
      <w:r>
        <w:t xml:space="preserve">3. Decision trail (14 steps)</w:t>
      </w:r>
    </w:p>
    <w:p>
      <w:pPr>
        <w:pStyle w:val="Heading2"/>
      </w:pPr>
      <w:r>
        <w:t xml:space="preserve">Step 1 · Act I · Customers and Problem (Canvas 1–2)</w:t>
      </w:r>
    </w:p>
    <w:p>
      <w:pPr>
        <w:pStyle w:val="Story"/>
      </w:pPr>
      <w:r>
        <w:t xml:space="preserve">Three of you finished version one in the incubator. An HR lead at a local manufacturer tried it and said it was the fastest screening tool she had ever used. Then she asked why certain candidates scored so low. Nobody could answer.</w:t>
      </w:r>
    </w:p>
    <w:p>
      <w:pPr>
        <w:pStyle w:val="Choice"/>
      </w:pPr>
      <w:r>
        <w:t xml:space="preserve">Your choice: Sign the pilot contract and form the team</w:t>
      </w:r>
    </w:p>
    <w:p>
      <w:pPr>
        <w:pStyle w:val="Normal"/>
      </w:pPr>
      <w:r>
        <w:t xml:space="preserve">Why: This turns the pilot opportunity into an operating venture and opens the later product and growth decisions. It does not change any score by itself; measurable effects begin with the next choice.</w:t>
      </w:r>
    </w:p>
    <w:p>
      <w:pPr>
        <w:pStyle w:val="Heading2"/>
      </w:pPr>
      <w:r>
        <w:t xml:space="preserve">Step 2 · Act I · Customers and Problem (Canvas 1–2)</w:t>
      </w:r>
    </w:p>
    <w:p>
      <w:pPr>
        <w:pStyle w:val="Story"/>
      </w:pPr>
      <w:r>
        <w:t xml:space="preserve">First question: who do you serve first? The career centre says graduate CV volume is up another thirty per cent this year.</w:t>
      </w:r>
    </w:p>
    <w:p>
      <w:pPr>
        <w:pStyle w:val="Choice"/>
      </w:pPr>
      <w:r>
        <w:t xml:space="preserve">Your choice: Go deep on technical roles at small and mid-sized tech firms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One role type has comparatively objective criteria, easy to align on with HR and turn into a validation set; once that reputation forms it is the hardest part for a competitor to copy (Canvas 9). The market is limited, though.</w:t>
      </w:r>
    </w:p>
    <w:p>
      <w:pPr>
        <w:pStyle w:val="Normal"/>
      </w:pPr>
      <w:r>
        <w:t xml:space="preserve">Who can act: design</w:t>
      </w:r>
    </w:p>
    <w:p>
      <w:pPr>
        <w:pStyle w:val="Heading2"/>
      </w:pPr>
      <w:r>
        <w:t xml:space="preserve">Step 3 · Act I · Customers and Problem (Canvas 1–2)</w:t>
      </w:r>
    </w:p>
    <w:p>
      <w:pPr>
        <w:pStyle w:val="Story"/>
      </w:pPr>
      <w:r>
        <w:t xml:space="preserve">Second question: what is the real pain? Some say too many CVs; privately, one HR says she is afraid of being blamed for missing a good candidate. Right then the university careers service emails again: they want to buy a careers edition, provided it reports the way they need.</w:t>
      </w:r>
    </w:p>
    <w:p>
      <w:pPr>
        <w:pStyle w:val="Choice"/>
      </w:pPr>
      <w:r>
        <w:t xml:space="preserve">Your choice: Ship an AI score and talent leaderboard so decisions take one click</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One-click decisions match the 'save time' purchasing rationale and are easy to sign. But collapsing someone's future into one number removes the ability to question it, and accountability for automated decisions starts to vanish.</w:t>
      </w:r>
    </w:p>
    <w:p>
      <w:pPr>
        <w:pStyle w:val="Normal"/>
      </w:pPr>
      <w:r>
        <w:t xml:space="preserve">Who can act: design</w:t>
      </w:r>
    </w:p>
    <w:p>
      <w:pPr>
        <w:pStyle w:val="Heading2"/>
      </w:pPr>
      <w:r>
        <w:t xml:space="preserve">Step 4 · Act II · Solution, Data and Training (Canvas 3–4)</w:t>
      </w:r>
    </w:p>
    <w:p>
      <w:pPr>
        <w:pStyle w:val="Story"/>
      </w:pPr>
      <w:r>
        <w:t xml:space="preserve">Two MVP candidates: give HR the reasoning, or give HR the verdict?</w:t>
      </w:r>
    </w:p>
    <w:p>
      <w:pPr>
        <w:pStyle w:val="Choice"/>
      </w:pPr>
      <w:r>
        <w:t xml:space="preserve">Your choice: Candidate search with a scoring leaderboard so companies can 'shop' people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National security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A searchable talent pool monetises well and spreads fast, but concentrating structured profiles of a local workforce — including people in critical roles and industries — creates an asset of very high sensitivity.</w:t>
      </w:r>
    </w:p>
    <w:p>
      <w:pPr>
        <w:pStyle w:val="Normal"/>
      </w:pPr>
      <w:r>
        <w:t xml:space="preserve">Who can act: design</w:t>
      </w:r>
    </w:p>
    <w:p>
      <w:pPr>
        <w:pStyle w:val="Heading2"/>
      </w:pPr>
      <w:r>
        <w:t xml:space="preserve">Step 5 · Act II · Solution, Data and Training (Canvas 3–4)</w:t>
      </w:r>
    </w:p>
    <w:p>
      <w:pPr>
        <w:pStyle w:val="Story"/>
      </w:pPr>
      <w:r>
        <w:t xml:space="preserve">To read job specs the model needs a full skill taxonomy and job mapping. Building it takes months; an overseas vendor sells a ready-made API.</w:t>
      </w:r>
    </w:p>
    <w:p>
      <w:pPr>
        <w:pStyle w:val="Choice"/>
      </w:pPr>
      <w:r>
        <w:t xml:space="preserve">Your choice: Build a local taxonomy on published industry classification standards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Building it in-house is slower but stays explainable: clear provenance, maintainable, and you can account for every weight when challenged. Localisation also improves matching quality.</w:t>
      </w:r>
    </w:p>
    <w:p>
      <w:pPr>
        <w:pStyle w:val="Normal"/>
      </w:pPr>
      <w:r>
        <w:t xml:space="preserve">Who can act: company policy</w:t>
      </w:r>
    </w:p>
    <w:p>
      <w:pPr>
        <w:pStyle w:val="Heading2"/>
      </w:pPr>
      <w:r>
        <w:t xml:space="preserve">Step 6 · Act II · Solution, Data and Training (Canvas 3–4)</w:t>
      </w:r>
    </w:p>
    <w:p>
      <w:pPr>
        <w:pStyle w:val="Story"/>
      </w:pPr>
      <w:r>
        <w:t xml:space="preserve">Validating the model needs historical hiring outcomes, and the pilot firm released only a slice. The team worries the model will look dumb.</w:t>
      </w:r>
    </w:p>
    <w:p>
      <w:pPr>
        <w:pStyle w:val="Choice"/>
      </w:pPr>
      <w:r>
        <w:t xml:space="preserve">Your choice: Use only data the pilot covered in writing and accept a small sample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A small sample makes the metrics look worse for now, but a complete authorisation chain survives due diligence, scrutiny and client counsel questions later. You trade pace for correctness.</w:t>
      </w:r>
    </w:p>
    <w:p>
      <w:pPr>
        <w:pStyle w:val="Normal"/>
      </w:pPr>
      <w:r>
        <w:t xml:space="preserve">Who can act: company policy</w:t>
      </w:r>
    </w:p>
    <w:p>
      <w:pPr>
        <w:pStyle w:val="Heading2"/>
      </w:pPr>
      <w:r>
        <w:t xml:space="preserve">Step 7 · Act II · Solution, Data and Training (Canvas 3–4)</w:t>
      </w:r>
    </w:p>
    <w:p>
      <w:pPr>
        <w:pStyle w:val="Story"/>
      </w:pPr>
      <w:r>
        <w:t xml:space="preserve">Trained only on authorised data, the model has a small, narrow sample and degrades outside the pilot firm's job families. But for every score you can say which fields it relied on.</w:t>
      </w:r>
    </w:p>
    <w:p>
      <w:pPr>
        <w:pStyle w:val="Choice"/>
      </w:pPr>
      <w:r>
        <w:t xml:space="preserve">Your choice: Claim algorithmic compliance; release the basis only after a complaint</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Business rises because you skip maintaining the scoring basis and sell more easily. Ethics and social expectation fall together: candidates were entitled to know what they were compared on, and you told nobody until a complaint arrived.</w:t>
      </w:r>
    </w:p>
    <w:p>
      <w:pPr>
        <w:pStyle w:val="Normal"/>
      </w:pPr>
      <w:r>
        <w:t xml:space="preserve">Who can act: company policy</w:t>
      </w:r>
    </w:p>
    <w:p>
      <w:pPr>
        <w:pStyle w:val="Heading2"/>
      </w:pPr>
      <w:r>
        <w:t xml:space="preserve">Step 8 · Act III · Channels, Revenue and Accountability (Canvas 5–8)</w:t>
      </w:r>
    </w:p>
    <w:p>
      <w:pPr>
        <w:pStyle w:val="Story"/>
      </w:pPr>
      <w:r>
        <w:t xml:space="preserve">You have a clean authorisation chain — how do you turn 'explainable scoring' into revenue? Sales wants a model where HR pays almost nothing — yet you would have to monetise the candidate data entrusted to you to make money, which is exactly what betrays your 'trustworthy' edge.</w:t>
      </w:r>
    </w:p>
    <w:p>
      <w:pPr>
        <w:pStyle w:val="Choice"/>
      </w:pPr>
      <w:r>
        <w:t xml:space="preserve">Your choice: Per-seat subscription with a written promise never to resell candidate data</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Subscriptions collect money slowest, but 'we never resell' written into the contract becomes a two-sided promise to candidates and HR alike — and in this industry trust is the hardest advantage to copy (Canvas 9).</w:t>
      </w:r>
    </w:p>
    <w:p>
      <w:pPr>
        <w:pStyle w:val="Normal"/>
      </w:pPr>
      <w:r>
        <w:t xml:space="preserve">Who can act: company policy</w:t>
      </w:r>
    </w:p>
    <w:p>
      <w:pPr>
        <w:pStyle w:val="Heading2"/>
      </w:pPr>
      <w:r>
        <w:t xml:space="preserve">Step 9 · Act III · Channels, Revenue and Accountability (Canvas 5–8)</w:t>
      </w:r>
    </w:p>
    <w:p>
      <w:pPr>
        <w:pStyle w:val="Story"/>
      </w:pPr>
      <w:r>
        <w:t xml:space="preserve">How do you reach more employers? One recruitment agent says he can put you in front of three hundred firms. You hold an 'explainable' reputation asset — how do you amplify it?</w:t>
      </w:r>
    </w:p>
    <w:p>
      <w:pPr>
        <w:pStyle w:val="Choice"/>
      </w:pPr>
      <w:r>
        <w:t xml:space="preserve">Your choice: Grow through HR communities and referrals, taking only clients you can serve</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It is slow, but every client forces you to explain your scoring, which raises fit; referrals are the cheapest channel per win and renew best (Canvas 5).</w:t>
      </w:r>
    </w:p>
    <w:p>
      <w:pPr>
        <w:pStyle w:val="Normal"/>
      </w:pPr>
      <w:r>
        <w:t xml:space="preserve">Who can act: company policy</w:t>
      </w:r>
    </w:p>
    <w:p>
      <w:pPr>
        <w:pStyle w:val="Heading2"/>
      </w:pPr>
      <w:r>
        <w:t xml:space="preserve">Step 10 · Act III · Channels, Revenue and Accountability (Canvas 5–8)</w:t>
      </w:r>
    </w:p>
    <w:p>
      <w:pPr>
        <w:pStyle w:val="Story"/>
      </w:pPr>
      <w:r>
        <w:t xml:space="preserve">A friend in law school warns: if an AI helps decide who gets an interview, candidates usually have the right to know and to request human review. Your line lives on 'explainable' — make it the default, or hide it for conversion?</w:t>
      </w:r>
    </w:p>
    <w:p>
      <w:pPr>
        <w:pStyle w:val="Choice"/>
      </w:pPr>
      <w:r>
        <w:t xml:space="preserve">Your choice: No candidate-facing disclosure; externally it is a 'system assessment'</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Legal compliance risk</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Ethics and trust risk</w:t>
            </w:r>
          </w:p>
        </w:tc>
        <w:tc>
          <w:tcPr>
            <w:tcW w:w="0" w:type="auto"/>
          </w:tcPr>
          <w:p>
            <w:pPr>
              <w:pStyle w:val="TableText"/>
            </w:pPr>
            <w:r>
              <w:t xml:space="preserve">+2</w:t>
            </w:r>
          </w:p>
        </w:tc>
        <w:tc>
          <w:tcPr>
            <w:tcW w:w="0" w:type="auto"/>
          </w:tcPr>
          <w:p>
            <w:pPr>
              <w:pStyle w:val="TableText"/>
            </w:pPr>
            <w:r>
              <w:t xml:space="preserve">worse</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Not disclosing avoids a lot of explaining and keeps clients comfortable. But automated decisions touching employment increasingly require notice, explanation and human involvement; concealment is typically treated as procedural unfairness.</w:t>
      </w:r>
    </w:p>
    <w:p>
      <w:pPr>
        <w:pStyle w:val="Normal"/>
      </w:pPr>
      <w:r>
        <w:t xml:space="preserve">Who can act: law</w:t>
      </w:r>
    </w:p>
    <w:p>
      <w:pPr>
        <w:pStyle w:val="Heading2"/>
      </w:pPr>
      <w:r>
        <w:t xml:space="preserve">Step 11 · Act III · Channels, Revenue and Accountability (Canvas 5–8)</w:t>
      </w:r>
    </w:p>
    <w:p>
      <w:pPr>
        <w:pStyle w:val="Story"/>
      </w:pPr>
      <w:r>
        <w:t xml:space="preserve">Internal testing shows systematically lower scores for people with long career gaps, candidates over forty, and anyone without a famous employer on their CV. Someone argues the data simply looks like that.</w:t>
      </w:r>
    </w:p>
    <w:p>
      <w:pPr>
        <w:pStyle w:val="Choice"/>
      </w:pPr>
      <w:r>
        <w:t xml:space="preserve">Your choice: Ship now and declare the intended population as 'graduates of leading institutions'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Ethics and trust risk</w:t>
            </w:r>
          </w:p>
        </w:tc>
        <w:tc>
          <w:tcPr>
            <w:tcW w:w="0" w:type="auto"/>
          </w:tcPr>
          <w:p>
            <w:pPr>
              <w:pStyle w:val="TableText"/>
            </w:pPr>
            <w:r>
              <w:t xml:space="preserve">+3</w:t>
            </w:r>
          </w:p>
        </w:tc>
        <w:tc>
          <w:tcPr>
            <w:tcW w:w="0" w:type="auto"/>
          </w:tcPr>
          <w:p>
            <w:pPr>
              <w:pStyle w:val="TableText"/>
            </w:pPr>
            <w:r>
              <w:t xml:space="preserve">worse</w:t>
            </w:r>
          </w:p>
        </w:tc>
      </w:tr>
      <w:tr>
        <w:tc>
          <w:tcPr>
            <w:tcW w:w="0" w:type="auto"/>
          </w:tcPr>
          <w:p>
            <w:pPr>
              <w:pStyle w:val="TableText"/>
            </w:pPr>
            <w:r>
              <w:t xml:space="preserve">Legal compliance risk</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Business model</w:t>
            </w:r>
          </w:p>
        </w:tc>
        <w:tc>
          <w:tcPr>
            <w:tcW w:w="0" w:type="auto"/>
          </w:tcPr>
          <w:p>
            <w:pPr>
              <w:pStyle w:val="TableText"/>
            </w:pPr>
            <w:r>
              <w:t xml:space="preserve">0</w:t>
            </w:r>
          </w:p>
        </w:tc>
        <w:tc>
          <w:tcPr>
            <w:tcW w:w="0" w:type="auto"/>
          </w:tcPr>
          <w:p>
            <w:pPr>
              <w:pStyle w:val="TableText"/>
            </w:pPr>
            <w:r>
              <w:t xml:space="preserve">unchanged</w:t>
            </w:r>
          </w:p>
        </w:tc>
      </w:tr>
      <w:tr>
        <w:tc>
          <w:tcPr>
            <w:tcW w:w="0" w:type="auto"/>
          </w:tcPr>
          <w:p>
            <w:pPr>
              <w:pStyle w:val="TableText"/>
            </w:pPr>
            <w:r>
              <w:t xml:space="preserve">Social expectation risk</w:t>
            </w:r>
          </w:p>
        </w:tc>
        <w:tc>
          <w:tcPr>
            <w:tcW w:w="0" w:type="auto"/>
          </w:tcPr>
          <w:p>
            <w:pPr>
              <w:pStyle w:val="TableText"/>
            </w:pPr>
            <w:r>
              <w:t xml:space="preserve">+2</w:t>
            </w:r>
          </w:p>
        </w:tc>
        <w:tc>
          <w:tcPr>
            <w:tcW w:w="0" w:type="auto"/>
          </w:tcPr>
          <w:p>
            <w:pPr>
              <w:pStyle w:val="TableText"/>
            </w:pPr>
            <w:r>
              <w:t xml:space="preserve">worse</w:t>
            </w:r>
          </w:p>
        </w:tc>
      </w:tr>
    </w:tbl>
    <w:p>
      <w:pPr>
        <w:pStyle w:val="Normal"/>
      </w:pPr>
      <w:r>
        <w:t xml:space="preserve">Why: Fine print will not contain the systemic effect, and once someone loses an opportunity the burden of proof stays with you. This turns known disparate impact into a shipped feature. Launch stays on schedule.</w:t>
      </w:r>
    </w:p>
    <w:p>
      <w:pPr>
        <w:pStyle w:val="Normal"/>
      </w:pPr>
      <w:r>
        <w:t xml:space="preserve">Who can act: law</w:t>
      </w:r>
    </w:p>
    <w:p>
      <w:pPr>
        <w:pStyle w:val="Heading2"/>
      </w:pPr>
      <w:r>
        <w:t xml:space="preserve">Step 12 · Act III · Channels, Revenue and Accountability (Canvas 5–8)</w:t>
      </w:r>
    </w:p>
    <w:p>
      <w:pPr>
        <w:pStyle w:val="Story"/>
      </w:pPr>
      <w:r>
        <w:t xml:space="preserve">A candidate over forty consults the labour authority: rejected seven times by the same system, never given a reason. Reporters start asking what the score actually rests on.</w:t>
      </w:r>
    </w:p>
    <w:p>
      <w:pPr>
        <w:pStyle w:val="Choice"/>
      </w:pPr>
      <w:r>
        <w:t xml:space="preserve">Your choice: Add score explanations and a human review channel; publish the known limitations</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Ethics and trust risk</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Legal compliance risk</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worse</w:t>
            </w:r>
          </w:p>
        </w:tc>
      </w:tr>
      <w:tr>
        <w:tc>
          <w:tcPr>
            <w:tcW w:w="0" w:type="auto"/>
          </w:tcPr>
          <w:p>
            <w:pPr>
              <w:pStyle w:val="TableText"/>
            </w:pPr>
            <w:r>
              <w:t xml:space="preserve">Problem–solution fit</w:t>
            </w:r>
          </w:p>
        </w:tc>
        <w:tc>
          <w:tcPr>
            <w:tcW w:w="0" w:type="auto"/>
          </w:tcPr>
          <w:p>
            <w:pPr>
              <w:pStyle w:val="TableText"/>
            </w:pPr>
            <w:r>
              <w:t xml:space="preserve">+1</w:t>
            </w:r>
          </w:p>
        </w:tc>
        <w:tc>
          <w:tcPr>
            <w:tcW w:w="0" w:type="auto"/>
          </w:tcPr>
          <w:p>
            <w:pPr>
              <w:pStyle w:val="TableText"/>
            </w:pPr>
            <w:r>
              <w:t xml:space="preserve">better</w:t>
            </w:r>
          </w:p>
        </w:tc>
      </w:tr>
    </w:tbl>
    <w:p>
      <w:pPr>
        <w:pStyle w:val="Normal"/>
      </w:pPr>
      <w:r>
        <w:t xml:space="preserve">Why: Ethics and legal both fall, because the misjudgement stops, but business falls too, because clients see the revenue drop before they see the improvement. It does not return the seven rejections; fixing it only stops it happening again.</w:t>
      </w:r>
    </w:p>
    <w:p>
      <w:pPr>
        <w:pStyle w:val="Normal"/>
      </w:pPr>
      <w:r>
        <w:t xml:space="preserve">Who can act: company policy</w:t>
      </w:r>
    </w:p>
    <w:p>
      <w:pPr>
        <w:pStyle w:val="Heading2"/>
      </w:pPr>
      <w:r>
        <w:t xml:space="preserve">Step 13 · Act IV · Scale and Spillover (Canvas 7, 9)</w:t>
      </w:r>
    </w:p>
    <w:p>
      <w:pPr>
        <w:pStyle w:val="Story"/>
      </w:pPr>
      <w:r>
        <w:t xml:space="preserve">That candidate's complaint is still running, and three institutions arrive with money: an offshore HR SaaS giant, generous but asking for candidate-data access; a local industry fund, smaller and stricter, data local; and voices urging subscriptions alone. Three term sheets — and the unfair advantage in Canvas 9 is usually written into those terms.</w:t>
      </w:r>
    </w:p>
    <w:p>
      <w:pPr>
        <w:pStyle w:val="Choice"/>
      </w:pPr>
      <w:r>
        <w:t xml:space="preserve">Your choice: Take a local industry fund: slower expansion, data stays local</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better</w:t>
            </w:r>
          </w:p>
        </w:tc>
      </w:tr>
      <w:tr>
        <w:tc>
          <w:tcPr>
            <w:tcW w:w="0" w:type="auto"/>
          </w:tcPr>
          <w:p>
            <w:pPr>
              <w:pStyle w:val="TableText"/>
            </w:pPr>
            <w:r>
              <w:t xml:space="preserve">Moat and unfair advantage</w:t>
            </w:r>
          </w:p>
        </w:tc>
        <w:tc>
          <w:tcPr>
            <w:tcW w:w="0" w:type="auto"/>
          </w:tcPr>
          <w:p>
            <w:pPr>
              <w:pStyle w:val="TableText"/>
            </w:pPr>
            <w:r>
              <w:t xml:space="preserve">+2</w:t>
            </w:r>
          </w:p>
        </w:tc>
        <w:tc>
          <w:tcPr>
            <w:tcW w:w="0" w:type="auto"/>
          </w:tcPr>
          <w:p>
            <w:pPr>
              <w:pStyle w:val="TableText"/>
            </w:pPr>
            <w:r>
              <w:t xml:space="preserve">better</w:t>
            </w:r>
          </w:p>
        </w:tc>
      </w:tr>
    </w:tbl>
    <w:p>
      <w:pPr>
        <w:pStyle w:val="Normal"/>
      </w:pPr>
      <w:r>
        <w:t xml:space="preserve">Why: Local capital is smaller and its terms more conservative, but data sovereignty and the audit trail stay intact, which means you will not be stumped in reviews by government, universities or large employers.</w:t>
      </w:r>
    </w:p>
    <w:p>
      <w:pPr>
        <w:pStyle w:val="Normal"/>
      </w:pPr>
      <w:r>
        <w:t xml:space="preserve">Who can act: company policy</w:t>
      </w:r>
    </w:p>
    <w:p>
      <w:pPr>
        <w:pStyle w:val="Heading2"/>
      </w:pPr>
      <w:r>
        <w:t xml:space="preserve">Step 14 · Act IV · Scale and Spillover (Canvas 7, 9)</w:t>
      </w:r>
    </w:p>
    <w:p>
      <w:pPr>
        <w:pStyle w:val="Story"/>
      </w:pPr>
      <w:r>
        <w:t xml:space="preserve">A labour-rights group ran a matched-pair test: identical CVs differing only in gender and age scored two bands apart. They are preparing a regulatory complaint and demanding the algorithm be explained.</w:t>
      </w:r>
    </w:p>
    <w:p>
      <w:pPr>
        <w:pStyle w:val="Choice"/>
      </w:pPr>
      <w:r>
        <w:t xml:space="preserve">Your choice: Commission an independent algorithm audit, publish a summary, build explainability</w:t>
      </w:r>
    </w:p>
    <w:tbl>
      <w:tblPr>
        <w:tblStyle w:val="TableGrid"/>
        <w:tblW w:w="9638" w:type="dxa"/>
      </w:tblPr>
      <w:tr>
        <w:tc>
          <w:tcPr>
            <w:tcW w:w="0" w:type="auto"/>
          </w:tcPr>
          <w:p>
            <w:pPr>
              <w:pStyle w:val="TableText"/>
            </w:pPr>
            <w:r>
              <w:t xml:space="preserve">Dimension</w:t>
            </w:r>
          </w:p>
        </w:tc>
        <w:tc>
          <w:tcPr>
            <w:tcW w:w="0" w:type="auto"/>
          </w:tcPr>
          <w:p>
            <w:pPr>
              <w:pStyle w:val="TableText"/>
            </w:pPr>
            <w:r>
              <w:t xml:space="preserve">Change</w:t>
            </w:r>
          </w:p>
        </w:tc>
        <w:tc>
          <w:tcPr>
            <w:tcW w:w="0" w:type="auto"/>
          </w:tcPr>
          <w:p>
            <w:pPr>
              <w:pStyle w:val="TableText"/>
            </w:pPr>
            <w:r>
              <w:t xml:space="preserve">Verdict</w:t>
            </w:r>
          </w:p>
        </w:tc>
      </w:tr>
      <w:tr>
        <w:tc>
          <w:tcPr>
            <w:tcW w:w="0" w:type="auto"/>
          </w:tcPr>
          <w:p>
            <w:pPr>
              <w:pStyle w:val="TableText"/>
            </w:pPr>
            <w:r>
              <w:t xml:space="preserve">Moat and unfair advantage</w:t>
            </w:r>
          </w:p>
        </w:tc>
        <w:tc>
          <w:tcPr>
            <w:tcW w:w="0" w:type="auto"/>
          </w:tcPr>
          <w:p>
            <w:pPr>
              <w:pStyle w:val="TableText"/>
            </w:pPr>
            <w:r>
              <w:t xml:space="preserve">+2</w:t>
            </w:r>
          </w:p>
        </w:tc>
        <w:tc>
          <w:tcPr>
            <w:tcW w:w="0" w:type="auto"/>
          </w:tcPr>
          <w:p>
            <w:pPr>
              <w:pStyle w:val="TableText"/>
            </w:pPr>
            <w:r>
              <w:t xml:space="preserve">better</w:t>
            </w:r>
          </w:p>
        </w:tc>
      </w:tr>
      <w:tr>
        <w:tc>
          <w:tcPr>
            <w:tcW w:w="0" w:type="auto"/>
          </w:tcPr>
          <w:p>
            <w:pPr>
              <w:pStyle w:val="TableText"/>
            </w:pPr>
            <w:r>
              <w:t xml:space="preserve">Business model</w:t>
            </w:r>
          </w:p>
        </w:tc>
        <w:tc>
          <w:tcPr>
            <w:tcW w:w="0" w:type="auto"/>
          </w:tcPr>
          <w:p>
            <w:pPr>
              <w:pStyle w:val="TableText"/>
            </w:pPr>
            <w:r>
              <w:t xml:space="preserve">-1</w:t>
            </w:r>
          </w:p>
        </w:tc>
        <w:tc>
          <w:tcPr>
            <w:tcW w:w="0" w:type="auto"/>
          </w:tcPr>
          <w:p>
            <w:pPr>
              <w:pStyle w:val="TableText"/>
            </w:pPr>
            <w:r>
              <w:t xml:space="preserve">worse</w:t>
            </w:r>
          </w:p>
        </w:tc>
      </w:tr>
    </w:tbl>
    <w:p>
      <w:pPr>
        <w:pStyle w:val="Normal"/>
      </w:pPr>
      <w:r>
        <w:t xml:space="preserve">Why: Auditing costs money and publishing invites criticism (business score drops), but a citable independent conclusion makes you the one vendor that large employers, public procurement and career offices can safely pick.</w:t>
      </w:r>
    </w:p>
    <w:p>
      <w:pPr>
        <w:pStyle w:val="Normal"/>
      </w:pPr>
      <w:r>
        <w:t xml:space="preserve">Who can act: design</w:t>
      </w:r>
    </w:p>
    <w:p>
      <w:pPr>
        <w:pStyle w:val="Heading1"/>
      </w:pPr>
      <w:r>
        <w:t xml:space="preserve">4. Ending debrief</w:t>
      </w:r>
    </w:p>
    <w:p>
      <w:pPr>
        <w:pStyle w:val="Story"/>
      </w:pPr>
      <w:r>
        <w:t xml:space="preserve">Commercial success hid one thing: users' trust was never matched by respect. When one user reverse-engineered your practices and published the whole thing, sentiment flipped overnight. Uninstalls, refunds, one-star reviews, press follow-ups — you did build a company, its foundation was just obtained by deception.</w:t>
      </w:r>
    </w:p>
    <w:p>
      <w:pPr>
        <w:pStyle w:val="Flavour"/>
      </w:pPr>
      <w:r>
        <w:t xml:space="preserve">The matched-pair test with only gender and age changed went viral.</w:t>
      </w:r>
    </w:p>
    <w:p>
      <w:pPr>
        <w:pStyle w:val="Heading2"/>
      </w:pPr>
      <w:r>
        <w:t xml:space="preserve">Why this ending fired</w:t>
      </w:r>
    </w:p>
    <w:p>
      <w:pPr>
        <w:pStyle w:val="Normal"/>
      </w:pPr>
      <w:r>
        <w:t xml:space="preserve">Why it fired: ethics risk at 5+ with a business score of 6+ — the more users you harmed, the harder the backlash when it surfaced.</w:t>
      </w:r>
    </w:p>
    <w:p>
      <w:pPr>
        <w:pStyle w:val="Heading2"/>
      </w:pPr>
      <w:r>
        <w:t xml:space="preserve">The trade-off you made</w:t>
      </w:r>
    </w:p>
    <w:p>
      <w:pPr>
        <w:pStyle w:val="Normal"/>
      </w:pPr>
      <w:r>
        <w:t xml:space="preserve">The trade-off: trading absent informed consent for conversion. Every 'users won't read it anyway' decision improved the funnel on paper and added to a trust deficit that becomes unrecoverable once exposed.</w:t>
      </w:r>
    </w:p>
    <w:p>
      <w:pPr>
        <w:pStyle w:val="Heading2"/>
      </w:pPr>
      <w:r>
        <w:t xml:space="preserve">Through the Lean Canvas</w:t>
      </w:r>
    </w:p>
    <w:p>
      <w:pPr>
        <w:pStyle w:val="Normal"/>
      </w:pPr>
      <w:r>
        <w:t xml:space="preserve">Lean Canvas review: Canvas 8 (key metrics) tracked retention and conversion but no counter-metric like 'informed-user rate'; Canvas 9 (unfair advantage) mistook information asymmetry for an advantage — the most fragile kind there is.</w:t>
      </w:r>
    </w:p>
    <w:p>
      <w:pPr>
        <w:pStyle w:val="Heading2"/>
      </w:pPr>
      <w:r>
        <w:t xml:space="preserve">Legal and regulatory hooks</w:t>
      </w:r>
    </w:p>
    <w:p>
      <w:pPr>
        <w:pStyle w:val="Normal"/>
      </w:pPr>
      <w:r>
        <w:t xml:space="preserve">Classroom pointers: validity of notice and consent, separate consent for sensitive personal information, the right to explanation and to opt out of automated decisions, consumer protection and fair-trading rules.</w:t>
      </w:r>
    </w:p>
    <w:p>
      <w:pPr>
        <w:pStyle w:val="Heading2"/>
      </w:pPr>
      <w:r>
        <w:t xml:space="preserve">Who was affected</w:t>
      </w:r>
    </w:p>
    <w:tbl>
      <w:tblPr>
        <w:tblStyle w:val="TableGrid"/>
        <w:tblW w:w="9638" w:type="dxa"/>
      </w:tblPr>
      <w:tr>
        <w:tc>
          <w:tcPr>
            <w:tcW w:w="0" w:type="auto"/>
          </w:tcPr>
          <w:p>
            <w:pPr>
              <w:pStyle w:val="TableText"/>
            </w:pPr>
            <w:r>
              <w:t xml:space="preserve">Who</w:t>
            </w:r>
          </w:p>
        </w:tc>
        <w:tc>
          <w:tcPr>
            <w:tcW w:w="0" w:type="auto"/>
          </w:tcPr>
          <w:p>
            <w:pPr>
              <w:pStyle w:val="TableText"/>
            </w:pPr>
            <w:r>
              <w:t xml:space="preserve">Impact</w:t>
            </w:r>
          </w:p>
        </w:tc>
      </w:tr>
      <w:tr>
        <w:tc>
          <w:tcPr>
            <w:tcW w:w="0" w:type="auto"/>
          </w:tcPr>
          <w:p>
            <w:pPr>
              <w:pStyle w:val="TableText"/>
            </w:pPr>
            <w:r>
              <w:t xml:space="preserve">The most vulnerable affected users</w:t>
            </w:r>
          </w:p>
        </w:tc>
        <w:tc>
          <w:tcPr>
            <w:tcW w:w="0" w:type="auto"/>
          </w:tcPr>
          <w:p>
            <w:pPr>
              <w:pStyle w:val="TableText"/>
            </w:pPr>
            <w:r>
              <w:t xml:space="preserve">Bore the most material harm — misjudgement, discrimination, exploitation — while receiving the least benefit.</w:t>
            </w:r>
          </w:p>
        </w:tc>
      </w:tr>
      <w:tr>
        <w:tc>
          <w:tcPr>
            <w:tcW w:w="0" w:type="auto"/>
          </w:tcPr>
          <w:p>
            <w:pPr>
              <w:pStyle w:val="TableText"/>
            </w:pPr>
            <w:r>
              <w:t xml:space="preserve">The general user base</w:t>
            </w:r>
          </w:p>
        </w:tc>
        <w:tc>
          <w:tcPr>
            <w:tcW w:w="0" w:type="auto"/>
          </w:tcPr>
          <w:p>
            <w:pPr>
              <w:pStyle w:val="TableText"/>
            </w:pPr>
            <w:r>
              <w:t xml:space="preserve">Discovered they were part of the product without knowing; the sense of betrayal outweighs any functional loss.</w:t>
            </w:r>
          </w:p>
        </w:tc>
      </w:tr>
      <w:tr>
        <w:tc>
          <w:tcPr>
            <w:tcW w:w="0" w:type="auto"/>
          </w:tcPr>
          <w:p>
            <w:pPr>
              <w:pStyle w:val="TableText"/>
            </w:pPr>
            <w:r>
              <w:t xml:space="preserve">Advertising and commercial partners</w:t>
            </w:r>
          </w:p>
        </w:tc>
        <w:tc>
          <w:tcPr>
            <w:tcW w:w="0" w:type="auto"/>
          </w:tcPr>
          <w:p>
            <w:pPr>
              <w:pStyle w:val="TableText"/>
            </w:pPr>
            <w:r>
              <w:t xml:space="preserve">Brand-safety damage spilled over and partnerships were halted at short notice.</w:t>
            </w:r>
          </w:p>
        </w:tc>
      </w:tr>
    </w:tbl>
    <w:p>
      <w:pPr>
        <w:pStyle w:val="Heading2"/>
      </w:pPr>
      <w:r>
        <w:t xml:space="preserve">What you could have done</w:t>
      </w:r>
    </w:p>
    <w:p>
      <w:pPr>
        <w:pStyle w:val="Normal"/>
      </w:pPr>
      <w:r>
        <w:t xml:space="preserve">1. Make consequential decisions explainable, refusable and reversible: give reasons, provide an off switch, allow deletion.</w:t>
      </w:r>
    </w:p>
    <w:p>
      <w:pPr>
        <w:pStyle w:val="Normal"/>
      </w:pPr>
      <w:r>
        <w:t xml:space="preserve">2. Run impact tests disaggregated by vulnerable groups rather than trusting headline averages.</w:t>
      </w:r>
    </w:p>
    <w:p>
      <w:pPr>
        <w:pStyle w:val="Normal"/>
      </w:pPr>
      <w:r>
        <w:t xml:space="preserve">3. Write 'we will never do X with your data' into your commercial terms — and submit to an audit.</w:t>
      </w:r>
    </w:p>
    <w:p>
      <w:pPr>
        <w:pStyle w:val="Heading2"/>
      </w:pPr>
      <w:r>
        <w:t xml:space="preserve">Reflection</w:t>
      </w:r>
    </w:p>
    <w:p>
      <w:pPr>
        <w:pStyle w:val="Normal"/>
      </w:pPr>
      <w:r>
        <w:t xml:space="preserve">Translate 'users did not consent' into one concrete commercial consequence, and explain why it was bound to happen eventually.</w:t>
      </w:r>
    </w:p>
    <w:p>
      <w:pPr>
        <w:pStyle w:val="Flavour"/>
      </w:pPr>
      <w:r>
        <w:t xml:space="preserve">No randomness in this run: the ending is fully determined by the 14 choices above.</w:t>
      </w:r>
    </w:p>
    <w:sectPr>
      <w:pgSz w:w="11906" w:h="16838"/>
      <w:pgMar w:top="1134" w:right="1134" w:bottom="1134" w:left="1134"/>
    </w:sectPr>
  </w:body>
</w:document>
</file>

<file path=word/styles.xml><?xml version="1.0" encoding="utf-8"?>
<w:styles xmlns:w="http://schemas.openxmlformats.org/wordprocessingml/2006/main">
  <w:docDefaults>
    <w:rPrDefault>
      <w:rPr>
        <w:rFonts w:ascii="Calibri" w:hAnsi="Calibri" w:eastAsia="PingFang SC"/>
        <w:sz w:val="21"/>
      </w:rPr>
    </w:rPrDefault>
  </w:docDefaults>
  <w:style w:type="paragraph" w:styleId="Title">
    <w:name w:val="Title"/>
    <w:pPr>
      <w:spacing w:before="120" w:after="60"/>
    </w:pPr>
    <w:rPr>
      <w:b/>
      <w:sz w:val="40"/>
    </w:rPr>
  </w:style>
  <w:style w:type="paragraph" w:styleId="Heading1">
    <w:name w:val="heading 1"/>
    <w:pPr>
      <w:spacing w:before="120" w:after="60"/>
    </w:pPr>
    <w:rPr>
      <w:b/>
      <w:sz w:val="30"/>
    </w:rPr>
  </w:style>
  <w:style w:type="paragraph" w:styleId="Heading2">
    <w:name w:val="heading 2"/>
    <w:pPr>
      <w:spacing w:before="120" w:after="60"/>
    </w:pPr>
    <w:rPr>
      <w:b/>
      <w:sz w:val="25"/>
    </w:rPr>
  </w:style>
  <w:style w:type="paragraph" w:styleId="Normal">
    <w:name w:val="Normal"/>
    <w:pPr>
      <w:spacing w:before="120" w:after="60"/>
    </w:pPr>
    <w:rPr>
      <w:sz w:val="21"/>
    </w:rPr>
  </w:style>
  <w:style w:type="paragraph" w:styleId="Story">
    <w:name w:val="Story"/>
    <w:pPr>
      <w:spacing w:before="120" w:after="60"/>
    </w:pPr>
    <w:rPr>
      <w:i/>
      <w:sz w:val="21"/>
    </w:rPr>
  </w:style>
  <w:style w:type="paragraph" w:styleId="Flavour">
    <w:name w:val="Flavour"/>
    <w:pPr>
      <w:spacing w:before="120" w:after="60"/>
    </w:pPr>
    <w:rPr>
      <w:i/>
      <w:sz w:val="20"/>
    </w:rPr>
  </w:style>
  <w:style w:type="paragraph" w:styleId="Choice">
    <w:name w:val="Choice"/>
    <w:pPr>
      <w:spacing w:before="120" w:after="60"/>
    </w:pPr>
    <w:rPr>
      <w:b/>
      <w:sz w:val="22"/>
    </w:rPr>
  </w:style>
  <w:style w:type="paragraph" w:styleId="TableText">
    <w:name w:val="Table Text"/>
    <w:pPr>
      <w:spacing w:before="120" w:after="60"/>
    </w:pPr>
    <w:rPr>
      <w:sz w:val="19"/>
    </w:rPr>
  </w:style>
  <w:style w:type="table" w:styleId="TableGrid">
    <w:name w:val="Table Grid"/>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