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Choices · Run Report</w:t>
      </w:r>
    </w:p>
    <w:p>
      <w:pPr>
        <w:pStyle w:val="Heading2"/>
      </w:pPr>
      <w:r>
        <w:t xml:space="preserve">HireSight: An AI Hiring Platform</w:t>
      </w:r>
    </w:p>
    <w:p>
      <w:pPr>
        <w:pStyle w:val="Normal"/>
      </w:pPr>
      <w:r>
        <w:t xml:space="preserve">Algorithmic scoring, worker rights and talent data</w:t>
      </w:r>
    </w:p>
    <w:p>
      <w:pPr>
        <w:pStyle w:val="Normal"/>
      </w:pPr>
      <w:r>
        <w:t xml:space="preserve">Exported 16/10/2026, 09:12:35</w:t>
      </w:r>
    </w:p>
    <w:p>
      <w:pPr>
        <w:pStyle w:val="Heading1"/>
      </w:pPr>
      <w:r>
        <w:t xml:space="preserve">1. THE VENTURE · READ THIS FIRST</w:t>
      </w:r>
    </w:p>
    <w:tbl>
      <w:tblPr>
        <w:tblStyle w:val="TableGrid"/>
        <w:tblW w:w="9638" w:type="dxa"/>
      </w:tblPr>
      <w:tr>
        <w:tc>
          <w:tcPr>
            <w:tcW w:w="0" w:type="auto"/>
          </w:tcPr>
          <w:p>
            <w:pPr>
              <w:pStyle w:val="TableText"/>
            </w:pPr>
            <w:r>
              <w:t xml:space="preserve">What it does</w:t>
            </w:r>
          </w:p>
        </w:tc>
        <w:tc>
          <w:tcPr>
            <w:tcW w:w="0" w:type="auto"/>
          </w:tcPr>
          <w:p>
            <w:pPr>
              <w:pStyle w:val="TableText"/>
            </w:pPr>
            <w:r>
              <w:t xml:space="preserve">A CV-screening tool for HR: upload a batch of CVs and the model scores and ranks each candidate against the job spec; it can later extend into interview coaching and skills assessment.</w:t>
            </w:r>
          </w:p>
        </w:tc>
      </w:tr>
      <w:tr>
        <w:tc>
          <w:tcPr>
            <w:tcW w:w="0" w:type="auto"/>
          </w:tcPr>
          <w:p>
            <w:pPr>
              <w:pStyle w:val="TableText"/>
            </w:pPr>
            <w:r>
              <w:t xml:space="preserve">Who buys it</w:t>
            </w:r>
          </w:p>
        </w:tc>
        <w:tc>
          <w:tcPr>
            <w:tcW w:w="0" w:type="auto"/>
          </w:tcPr>
          <w:p>
            <w:pPr>
              <w:pStyle w:val="TableText"/>
            </w:pPr>
            <w:r>
              <w:t xml:space="preserve">HR teams and recruitment outsourcers at small and mid-sized firms; university careers services are also potential buyers.</w:t>
            </w:r>
          </w:p>
        </w:tc>
      </w:tr>
      <w:tr>
        <w:tc>
          <w:tcPr>
            <w:tcW w:w="0" w:type="auto"/>
          </w:tcPr>
          <w:p>
            <w:pPr>
              <w:pStyle w:val="TableText"/>
            </w:pPr>
            <w:r>
              <w:t xml:space="preserve">Where it stands</w:t>
            </w:r>
          </w:p>
        </w:tc>
        <w:tc>
          <w:tcPr>
            <w:tcW w:w="0" w:type="auto"/>
          </w:tcPr>
          <w:p>
            <w:pPr>
              <w:pStyle w:val="TableText"/>
            </w:pPr>
            <w:r>
              <w:t xml:space="preserve">Version one is finished in the incubator and a local manufacturer is paying for a pilot. Three people, pricing not settled.</w:t>
            </w:r>
          </w:p>
        </w:tc>
      </w:tr>
      <w:tr>
        <w:tc>
          <w:tcPr>
            <w:tcW w:w="0" w:type="auto"/>
          </w:tcPr>
          <w:p>
            <w:pPr>
              <w:pStyle w:val="TableText"/>
            </w:pPr>
            <w:r>
              <w:t xml:space="preserve">Data it touches</w:t>
            </w:r>
          </w:p>
        </w:tc>
        <w:tc>
          <w:tcPr>
            <w:tcW w:w="0" w:type="auto"/>
          </w:tcPr>
          <w:p>
            <w:pPr>
              <w:pStyle w:val="TableText"/>
            </w:pPr>
            <w:r>
              <w:t xml:space="preserve">Identities, education, work history and assessment results from CVs. If scoring feeds who gets an interview, that is automated decision-making — candidates normally have the right to know and to ask for human review.</w:t>
            </w:r>
          </w:p>
        </w:tc>
      </w:tr>
    </w:tbl>
    <w:p>
      <w:pPr>
        <w:pStyle w:val="Heading1"/>
      </w:pPr>
      <w:r>
        <w:t xml:space="preserve">2. Score ledger</w:t>
      </w:r>
    </w:p>
    <w:tbl>
      <w:tblPr>
        <w:tblStyle w:val="TableGrid"/>
        <w:tblW w:w="9638" w:type="dxa"/>
      </w:tblPr>
      <w:tr>
        <w:tc>
          <w:tcPr>
            <w:tcW w:w="0" w:type="auto"/>
          </w:tcPr>
          <w:p>
            <w:pPr>
              <w:pStyle w:val="TableText"/>
            </w:pPr>
            <w:r>
              <w:t xml:space="preserve">Dimension</w:t>
            </w:r>
          </w:p>
        </w:tc>
        <w:tc>
          <w:tcPr>
            <w:tcW w:w="0" w:type="auto"/>
          </w:tcPr>
          <w:p>
            <w:pPr>
              <w:pStyle w:val="TableText"/>
            </w:pPr>
            <w:r>
              <w:t xml:space="preserve">Start → Final</w:t>
            </w:r>
          </w:p>
        </w:tc>
        <w:tc>
          <w:tcPr>
            <w:tcW w:w="0" w:type="auto"/>
          </w:tcPr>
          <w:p>
            <w:pPr>
              <w:pStyle w:val="TableText"/>
            </w:pPr>
            <w:r>
              <w:t xml:space="preserve">Net</w:t>
            </w:r>
          </w:p>
        </w:tc>
        <w:tc>
          <w:tcPr>
            <w:tcW w:w="0" w:type="auto"/>
          </w:tcPr>
          <w:p>
            <w:pPr>
              <w:pStyle w:val="TableText"/>
            </w:pPr>
            <w:r>
              <w:t xml:space="preserve">Verdict</w:t>
            </w:r>
          </w:p>
        </w:tc>
      </w:tr>
      <w:tr>
        <w:tc>
          <w:tcPr>
            <w:tcW w:w="0" w:type="auto"/>
          </w:tcPr>
          <w:p>
            <w:pPr>
              <w:pStyle w:val="TableText"/>
            </w:pPr>
            <w:r>
              <w:t xml:space="preserve">National security risk</w:t>
            </w:r>
          </w:p>
        </w:tc>
        <w:tc>
          <w:tcPr>
            <w:tcW w:w="0" w:type="auto"/>
          </w:tcPr>
          <w:p>
            <w:pPr>
              <w:pStyle w:val="TableText"/>
            </w:pPr>
            <w:r>
              <w:t xml:space="preserve">0 → 1</w:t>
            </w:r>
          </w:p>
        </w:tc>
        <w:tc>
          <w:tcPr>
            <w:tcW w:w="0" w:type="auto"/>
          </w:tcPr>
          <w:p>
            <w:pPr>
              <w:pStyle w:val="TableText"/>
            </w:pPr>
            <w:r>
              <w:t xml:space="preserve">+1</w:t>
            </w:r>
          </w:p>
        </w:tc>
        <w:tc>
          <w:tcPr>
            <w:tcW w:w="0" w:type="auto"/>
          </w:tcPr>
          <w:p>
            <w:pPr>
              <w:pStyle w:val="TableText"/>
            </w:pPr>
            <w:r>
              <w:t xml:space="preserve">worse</w:t>
            </w:r>
          </w:p>
        </w:tc>
      </w:tr>
      <w:tr>
        <w:tc>
          <w:tcPr>
            <w:tcW w:w="0" w:type="auto"/>
          </w:tcPr>
          <w:p>
            <w:pPr>
              <w:pStyle w:val="TableText"/>
            </w:pPr>
            <w:r>
              <w:t xml:space="preserve">Legal compliance risk</w:t>
            </w:r>
          </w:p>
        </w:tc>
        <w:tc>
          <w:tcPr>
            <w:tcW w:w="0" w:type="auto"/>
          </w:tcPr>
          <w:p>
            <w:pPr>
              <w:pStyle w:val="TableText"/>
            </w:pPr>
            <w:r>
              <w:t xml:space="preserve">0 → 3</w:t>
            </w:r>
          </w:p>
        </w:tc>
        <w:tc>
          <w:tcPr>
            <w:tcW w:w="0" w:type="auto"/>
          </w:tcPr>
          <w:p>
            <w:pPr>
              <w:pStyle w:val="TableText"/>
            </w:pPr>
            <w:r>
              <w:t xml:space="preserve">+3</w:t>
            </w:r>
          </w:p>
        </w:tc>
        <w:tc>
          <w:tcPr>
            <w:tcW w:w="0" w:type="auto"/>
          </w:tcPr>
          <w:p>
            <w:pPr>
              <w:pStyle w:val="TableText"/>
            </w:pPr>
            <w:r>
              <w:t xml:space="preserve">worse</w:t>
            </w:r>
          </w:p>
        </w:tc>
      </w:tr>
      <w:tr>
        <w:tc>
          <w:tcPr>
            <w:tcW w:w="0" w:type="auto"/>
          </w:tcPr>
          <w:p>
            <w:pPr>
              <w:pStyle w:val="TableText"/>
            </w:pPr>
            <w:r>
              <w:t xml:space="preserve">Ethics and trust risk</w:t>
            </w:r>
          </w:p>
        </w:tc>
        <w:tc>
          <w:tcPr>
            <w:tcW w:w="0" w:type="auto"/>
          </w:tcPr>
          <w:p>
            <w:pPr>
              <w:pStyle w:val="TableText"/>
            </w:pPr>
            <w:r>
              <w:t xml:space="preserve">0 → 6</w:t>
            </w:r>
          </w:p>
        </w:tc>
        <w:tc>
          <w:tcPr>
            <w:tcW w:w="0" w:type="auto"/>
          </w:tcPr>
          <w:p>
            <w:pPr>
              <w:pStyle w:val="TableText"/>
            </w:pPr>
            <w:r>
              <w:t xml:space="preserve">+6</w:t>
            </w:r>
          </w:p>
        </w:tc>
        <w:tc>
          <w:tcPr>
            <w:tcW w:w="0" w:type="auto"/>
          </w:tcPr>
          <w:p>
            <w:pPr>
              <w:pStyle w:val="TableText"/>
            </w:pPr>
            <w:r>
              <w:t xml:space="preserve">worse</w:t>
            </w:r>
          </w:p>
        </w:tc>
      </w:tr>
      <w:tr>
        <w:tc>
          <w:tcPr>
            <w:tcW w:w="0" w:type="auto"/>
          </w:tcPr>
          <w:p>
            <w:pPr>
              <w:pStyle w:val="TableText"/>
            </w:pPr>
            <w:r>
              <w:t xml:space="preserve">Social expectation risk</w:t>
            </w:r>
          </w:p>
        </w:tc>
        <w:tc>
          <w:tcPr>
            <w:tcW w:w="0" w:type="auto"/>
          </w:tcPr>
          <w:p>
            <w:pPr>
              <w:pStyle w:val="TableText"/>
            </w:pPr>
            <w:r>
              <w:t xml:space="preserve">1 → 9</w:t>
            </w:r>
          </w:p>
        </w:tc>
        <w:tc>
          <w:tcPr>
            <w:tcW w:w="0" w:type="auto"/>
          </w:tcPr>
          <w:p>
            <w:pPr>
              <w:pStyle w:val="TableText"/>
            </w:pPr>
            <w:r>
              <w:t xml:space="preserve">+8</w:t>
            </w:r>
          </w:p>
        </w:tc>
        <w:tc>
          <w:tcPr>
            <w:tcW w:w="0" w:type="auto"/>
          </w:tcPr>
          <w:p>
            <w:pPr>
              <w:pStyle w:val="TableText"/>
            </w:pPr>
            <w:r>
              <w:t xml:space="preserve">worse</w:t>
            </w:r>
          </w:p>
        </w:tc>
      </w:tr>
      <w:tr>
        <w:tc>
          <w:tcPr>
            <w:tcW w:w="0" w:type="auto"/>
          </w:tcPr>
          <w:p>
            <w:pPr>
              <w:pStyle w:val="TableText"/>
            </w:pPr>
            <w:r>
              <w:t xml:space="preserve">Problem–solution fit</w:t>
            </w:r>
          </w:p>
        </w:tc>
        <w:tc>
          <w:tcPr>
            <w:tcW w:w="0" w:type="auto"/>
          </w:tcPr>
          <w:p>
            <w:pPr>
              <w:pStyle w:val="TableText"/>
            </w:pPr>
            <w:r>
              <w:t xml:space="preserve">2 → 8</w:t>
            </w:r>
          </w:p>
        </w:tc>
        <w:tc>
          <w:tcPr>
            <w:tcW w:w="0" w:type="auto"/>
          </w:tcPr>
          <w:p>
            <w:pPr>
              <w:pStyle w:val="TableText"/>
            </w:pPr>
            <w:r>
              <w:t xml:space="preserve">+6</w:t>
            </w:r>
          </w:p>
        </w:tc>
        <w:tc>
          <w:tcPr>
            <w:tcW w:w="0" w:type="auto"/>
          </w:tcPr>
          <w:p>
            <w:pPr>
              <w:pStyle w:val="TableText"/>
            </w:pPr>
            <w:r>
              <w:t xml:space="preserve">better</w:t>
            </w:r>
          </w:p>
        </w:tc>
      </w:tr>
      <w:tr>
        <w:tc>
          <w:tcPr>
            <w:tcW w:w="0" w:type="auto"/>
          </w:tcPr>
          <w:p>
            <w:pPr>
              <w:pStyle w:val="TableText"/>
            </w:pPr>
            <w:r>
              <w:t xml:space="preserve">Business model</w:t>
            </w:r>
          </w:p>
        </w:tc>
        <w:tc>
          <w:tcPr>
            <w:tcW w:w="0" w:type="auto"/>
          </w:tcPr>
          <w:p>
            <w:pPr>
              <w:pStyle w:val="TableText"/>
            </w:pPr>
            <w:r>
              <w:t xml:space="preserve">2 → 9</w:t>
            </w:r>
          </w:p>
        </w:tc>
        <w:tc>
          <w:tcPr>
            <w:tcW w:w="0" w:type="auto"/>
          </w:tcPr>
          <w:p>
            <w:pPr>
              <w:pStyle w:val="TableText"/>
            </w:pPr>
            <w:r>
              <w:t xml:space="preserve">+7</w:t>
            </w:r>
          </w:p>
        </w:tc>
        <w:tc>
          <w:tcPr>
            <w:tcW w:w="0" w:type="auto"/>
          </w:tcPr>
          <w:p>
            <w:pPr>
              <w:pStyle w:val="TableText"/>
            </w:pPr>
            <w:r>
              <w:t xml:space="preserve">better</w:t>
            </w:r>
          </w:p>
        </w:tc>
      </w:tr>
      <w:tr>
        <w:tc>
          <w:tcPr>
            <w:tcW w:w="0" w:type="auto"/>
          </w:tcPr>
          <w:p>
            <w:pPr>
              <w:pStyle w:val="TableText"/>
            </w:pPr>
            <w:r>
              <w:t xml:space="preserve">Moat and unfair advantage</w:t>
            </w:r>
          </w:p>
        </w:tc>
        <w:tc>
          <w:tcPr>
            <w:tcW w:w="0" w:type="auto"/>
          </w:tcPr>
          <w:p>
            <w:pPr>
              <w:pStyle w:val="TableText"/>
            </w:pPr>
            <w:r>
              <w:t xml:space="preserve">1 → 7</w:t>
            </w:r>
          </w:p>
        </w:tc>
        <w:tc>
          <w:tcPr>
            <w:tcW w:w="0" w:type="auto"/>
          </w:tcPr>
          <w:p>
            <w:pPr>
              <w:pStyle w:val="TableText"/>
            </w:pPr>
            <w:r>
              <w:t xml:space="preserve">+6</w:t>
            </w:r>
          </w:p>
        </w:tc>
        <w:tc>
          <w:tcPr>
            <w:tcW w:w="0" w:type="auto"/>
          </w:tcPr>
          <w:p>
            <w:pPr>
              <w:pStyle w:val="TableText"/>
            </w:pPr>
            <w:r>
              <w:t xml:space="preserve">better</w:t>
            </w:r>
          </w:p>
        </w:tc>
      </w:tr>
    </w:tbl>
    <w:p>
      <w:pPr>
        <w:pStyle w:val="Heading1"/>
      </w:pPr>
      <w:r>
        <w:t xml:space="preserve">3. Ending debrief</w:t>
      </w:r>
    </w:p>
    <w:p>
      <w:pPr>
        <w:pStyle w:val="Heading2"/>
      </w:pPr>
      <w:r>
        <w:t xml:space="preserve">Outcome quadrant: High risk × strong value · 😭 Boom-then-bust</w:t>
      </w:r>
    </w:p>
    <w:p>
      <w:pPr>
        <w:pStyle w:val="Heading2"/>
      </w:pPr>
      <w:r>
        <w:t xml:space="preserve">Ending: Users Finally Find Out They Were Sold</w:t>
      </w:r>
    </w:p>
    <w:p>
      <w:pPr>
        <w:pStyle w:val="Normal"/>
      </w:pPr>
      <w:r>
        <w:t xml:space="preserve">Type: Fail</w:t>
      </w:r>
    </w:p>
    <w:p>
      <w:pPr>
        <w:pStyle w:val="Story"/>
      </w:pPr>
      <w:r>
        <w:t xml:space="preserve">Commercial success hid one thing: users' trust was never matched by respect. When one user reverse-engineered your practices and published the whole thing, sentiment flipped overnight. Uninstalls, refunds, one-star reviews, press follow-ups — you did build a company, its foundation was just obtained by deception.</w:t>
      </w:r>
    </w:p>
    <w:p>
      <w:pPr>
        <w:pStyle w:val="Flavour"/>
      </w:pPr>
      <w:r>
        <w:t xml:space="preserve">The matched-pair test with only gender and age changed went viral.</w:t>
      </w:r>
    </w:p>
    <w:p>
      <w:pPr>
        <w:pStyle w:val="Heading2"/>
      </w:pPr>
      <w:r>
        <w:t xml:space="preserve">Why this ending fired</w:t>
      </w:r>
    </w:p>
    <w:p>
      <w:pPr>
        <w:pStyle w:val="Normal"/>
      </w:pPr>
      <w:r>
        <w:t xml:space="preserve">Why it fired: ethics risk at 5+ with a business score of 6+ — the more users you harmed, the harder the backlash when it surfaced.</w:t>
      </w:r>
    </w:p>
    <w:p>
      <w:pPr>
        <w:pStyle w:val="Heading2"/>
      </w:pPr>
      <w:r>
        <w:t xml:space="preserve">The trade-off you made</w:t>
      </w:r>
    </w:p>
    <w:p>
      <w:pPr>
        <w:pStyle w:val="Normal"/>
      </w:pPr>
      <w:r>
        <w:t xml:space="preserve">The trade-off: trading absent informed consent for conversion. Every 'users won't read it anyway' decision improved the funnel on paper and added to a trust deficit that becomes unrecoverable once exposed.</w:t>
      </w:r>
    </w:p>
    <w:p>
      <w:pPr>
        <w:pStyle w:val="Heading2"/>
      </w:pPr>
      <w:r>
        <w:t xml:space="preserve">Through the Lean Canvas</w:t>
      </w:r>
    </w:p>
    <w:p>
      <w:pPr>
        <w:pStyle w:val="Normal"/>
      </w:pPr>
      <w:r>
        <w:t xml:space="preserve">Lean Canvas review: Canvas 8 (key metrics) tracked retention and conversion but no counter-metric like 'informed-user rate'; Canvas 9 (unfair advantage) mistook information asymmetry for an advantage — the most fragile kind there is.</w:t>
      </w:r>
    </w:p>
    <w:p>
      <w:pPr>
        <w:pStyle w:val="Heading2"/>
      </w:pPr>
      <w:r>
        <w:t xml:space="preserve">Legal and regulatory hooks</w:t>
      </w:r>
    </w:p>
    <w:p>
      <w:pPr>
        <w:pStyle w:val="Normal"/>
      </w:pPr>
      <w:r>
        <w:t xml:space="preserve">Classroom pointers: validity of notice and consent, separate consent for sensitive personal information, the right to explanation and to opt out of automated decisions, consumer protection and fair-trading rules.</w:t>
      </w:r>
    </w:p>
    <w:p>
      <w:pPr>
        <w:pStyle w:val="Heading2"/>
      </w:pPr>
      <w:r>
        <w:t xml:space="preserve">Who was affected</w:t>
      </w:r>
    </w:p>
    <w:tbl>
      <w:tblPr>
        <w:tblStyle w:val="TableGrid"/>
        <w:tblW w:w="9638" w:type="dxa"/>
      </w:tblPr>
      <w:tr>
        <w:tc>
          <w:tcPr>
            <w:tcW w:w="0" w:type="auto"/>
          </w:tcPr>
          <w:p>
            <w:pPr>
              <w:pStyle w:val="TableText"/>
            </w:pPr>
            <w:r>
              <w:t xml:space="preserve">Who</w:t>
            </w:r>
          </w:p>
        </w:tc>
        <w:tc>
          <w:tcPr>
            <w:tcW w:w="0" w:type="auto"/>
          </w:tcPr>
          <w:p>
            <w:pPr>
              <w:pStyle w:val="TableText"/>
            </w:pPr>
            <w:r>
              <w:t xml:space="preserve">Impact</w:t>
            </w:r>
          </w:p>
        </w:tc>
      </w:tr>
      <w:tr>
        <w:tc>
          <w:tcPr>
            <w:tcW w:w="0" w:type="auto"/>
          </w:tcPr>
          <w:p>
            <w:pPr>
              <w:pStyle w:val="TableText"/>
            </w:pPr>
            <w:r>
              <w:t xml:space="preserve">The most vulnerable affected users</w:t>
            </w:r>
          </w:p>
        </w:tc>
        <w:tc>
          <w:tcPr>
            <w:tcW w:w="0" w:type="auto"/>
          </w:tcPr>
          <w:p>
            <w:pPr>
              <w:pStyle w:val="TableText"/>
            </w:pPr>
            <w:r>
              <w:t xml:space="preserve">Bore the most material harm — misjudgement, discrimination, exploitation — while receiving the least benefit.</w:t>
            </w:r>
          </w:p>
        </w:tc>
      </w:tr>
      <w:tr>
        <w:tc>
          <w:tcPr>
            <w:tcW w:w="0" w:type="auto"/>
          </w:tcPr>
          <w:p>
            <w:pPr>
              <w:pStyle w:val="TableText"/>
            </w:pPr>
            <w:r>
              <w:t xml:space="preserve">The general user base</w:t>
            </w:r>
          </w:p>
        </w:tc>
        <w:tc>
          <w:tcPr>
            <w:tcW w:w="0" w:type="auto"/>
          </w:tcPr>
          <w:p>
            <w:pPr>
              <w:pStyle w:val="TableText"/>
            </w:pPr>
            <w:r>
              <w:t xml:space="preserve">Discovered they were part of the product without knowing; the sense of betrayal outweighs any functional loss.</w:t>
            </w:r>
          </w:p>
        </w:tc>
      </w:tr>
      <w:tr>
        <w:tc>
          <w:tcPr>
            <w:tcW w:w="0" w:type="auto"/>
          </w:tcPr>
          <w:p>
            <w:pPr>
              <w:pStyle w:val="TableText"/>
            </w:pPr>
            <w:r>
              <w:t xml:space="preserve">Advertising and commercial partners</w:t>
            </w:r>
          </w:p>
        </w:tc>
        <w:tc>
          <w:tcPr>
            <w:tcW w:w="0" w:type="auto"/>
          </w:tcPr>
          <w:p>
            <w:pPr>
              <w:pStyle w:val="TableText"/>
            </w:pPr>
            <w:r>
              <w:t xml:space="preserve">Brand-safety damage spilled over and partnerships were halted at short notice.</w:t>
            </w:r>
          </w:p>
        </w:tc>
      </w:tr>
    </w:tbl>
    <w:p>
      <w:pPr>
        <w:pStyle w:val="Heading2"/>
      </w:pPr>
      <w:r>
        <w:t xml:space="preserve">What you could have done</w:t>
      </w:r>
    </w:p>
    <w:p>
      <w:pPr>
        <w:pStyle w:val="Normal"/>
      </w:pPr>
      <w:r>
        <w:t xml:space="preserve">1. Make consequential decisions explainable, refusable and reversible: give reasons, provide an off switch, allow deletion.</w:t>
      </w:r>
    </w:p>
    <w:p>
      <w:pPr>
        <w:pStyle w:val="Normal"/>
      </w:pPr>
      <w:r>
        <w:t xml:space="preserve">2. Run impact tests disaggregated by vulnerable groups rather than trusting headline averages.</w:t>
      </w:r>
    </w:p>
    <w:p>
      <w:pPr>
        <w:pStyle w:val="Normal"/>
      </w:pPr>
      <w:r>
        <w:t xml:space="preserve">3. Write 'we will never do X with your data' into your commercial terms — and submit to an audit.</w:t>
      </w:r>
    </w:p>
    <w:p>
      <w:pPr>
        <w:pStyle w:val="Heading2"/>
      </w:pPr>
      <w:r>
        <w:t xml:space="preserve">Reflection</w:t>
      </w:r>
    </w:p>
    <w:p>
      <w:pPr>
        <w:pStyle w:val="Normal"/>
      </w:pPr>
      <w:r>
        <w:t xml:space="preserve">Translate 'users did not consent' into one concrete commercial consequence, and explain why it was bound to happen eventually.</w:t>
      </w:r>
    </w:p>
    <w:p>
      <w:pPr>
        <w:pStyle w:val="Heading1"/>
      </w:pPr>
      <w:r>
        <w:t xml:space="preserve">4. Decision trail (14 steps)</w:t>
      </w:r>
    </w:p>
    <w:p>
      <w:pPr>
        <w:pStyle w:val="Heading2"/>
      </w:pPr>
      <w:r>
        <w:t xml:space="preserve">Step 1 · Act I · Customers and Problem (Canvas 1–2)</w:t>
      </w:r>
    </w:p>
    <w:p>
      <w:pPr>
        <w:pStyle w:val="Story"/>
      </w:pPr>
      <w:r>
        <w:t xml:space="preserve">Three of you finished version one in the incubator. An HR lead at a local manufacturer tried it and said it was the fastest screening tool she had ever used. Then she asked why certain candidates scored so low. Nobody could answer.</w:t>
      </w:r>
    </w:p>
    <w:p>
      <w:pPr>
        <w:pStyle w:val="Choice"/>
      </w:pPr>
      <w:r>
        <w:t xml:space="preserve">Your choice: Sign the pilot contract and form the team</w:t>
      </w:r>
    </w:p>
    <w:p>
      <w:pPr>
        <w:pStyle w:val="Normal"/>
      </w:pPr>
      <w:r>
        <w:t xml:space="preserve">Why: This turns the pilot opportunity into an operating venture and opens the later product and growth decisions. It does not change any score by itself; measurable effects begin with the next choice.</w:t>
      </w:r>
    </w:p>
    <w:p>
      <w:pPr>
        <w:pStyle w:val="Heading2"/>
      </w:pPr>
      <w:r>
        <w:t xml:space="preserve">Step 2 · Act I · Customers and Problem (Canvas 1–2)</w:t>
      </w:r>
    </w:p>
    <w:p>
      <w:pPr>
        <w:pStyle w:val="Story"/>
      </w:pPr>
      <w:r>
        <w:t xml:space="preserve">First question: who do you serve first? The career centre says graduate CV volume is up another thirty per cent this year.</w:t>
      </w:r>
    </w:p>
    <w:p>
      <w:pPr>
        <w:pStyle w:val="Choice"/>
      </w:pPr>
      <w:r>
        <w:t xml:space="preserve">Your choice: Go deep on technical roles at small and mid-sized tech firms</w:t>
      </w:r>
    </w:p>
    <w:tbl>
      <w:tblPr>
        <w:tblStyle w:val="TableGrid"/>
        <w:tblW w:w="9638" w:type="dxa"/>
      </w:tblPr>
      <w:tr>
        <w:tc>
          <w:tcPr>
            <w:tcW w:w="0" w:type="auto"/>
          </w:tcPr>
          <w:p>
            <w:pPr>
              <w:pStyle w:val="TableText"/>
            </w:pPr>
            <w:r>
              <w:t xml:space="preserve">Dimension</w:t>
            </w:r>
          </w:p>
        </w:tc>
        <w:tc>
          <w:tcPr>
            <w:tcW w:w="0" w:type="auto"/>
          </w:tcPr>
          <w:p>
            <w:pPr>
              <w:pStyle w:val="TableText"/>
            </w:pPr>
            <w:r>
              <w:t xml:space="preserve">Change</w:t>
            </w:r>
          </w:p>
        </w:tc>
        <w:tc>
          <w:tcPr>
            <w:tcW w:w="0" w:type="auto"/>
          </w:tcPr>
          <w:p>
            <w:pPr>
              <w:pStyle w:val="TableText"/>
            </w:pPr>
            <w:r>
              <w:t xml:space="preserve">Verdict</w:t>
            </w:r>
          </w:p>
        </w:tc>
      </w:tr>
      <w:tr>
        <w:tc>
          <w:tcPr>
            <w:tcW w:w="0" w:type="auto"/>
          </w:tcPr>
          <w:p>
            <w:pPr>
              <w:pStyle w:val="TableText"/>
            </w:pPr>
            <w:r>
              <w:t xml:space="preserve">Problem–solution fit</w:t>
            </w:r>
          </w:p>
        </w:tc>
        <w:tc>
          <w:tcPr>
            <w:tcW w:w="0" w:type="auto"/>
          </w:tcPr>
          <w:p>
            <w:pPr>
              <w:pStyle w:val="TableText"/>
            </w:pPr>
            <w:r>
              <w:t xml:space="preserve">+2</w:t>
            </w:r>
          </w:p>
        </w:tc>
        <w:tc>
          <w:tcPr>
            <w:tcW w:w="0" w:type="auto"/>
          </w:tcPr>
          <w:p>
            <w:pPr>
              <w:pStyle w:val="TableText"/>
            </w:pPr>
            <w:r>
              <w:t xml:space="preserve">better</w:t>
            </w:r>
          </w:p>
        </w:tc>
      </w:tr>
      <w:tr>
        <w:tc>
          <w:tcPr>
            <w:tcW w:w="0" w:type="auto"/>
          </w:tcPr>
          <w:p>
            <w:pPr>
              <w:pStyle w:val="TableText"/>
            </w:pPr>
            <w:r>
              <w:t xml:space="preserve">Moat and unfair advantage</w:t>
            </w:r>
          </w:p>
        </w:tc>
        <w:tc>
          <w:tcPr>
            <w:tcW w:w="0" w:type="auto"/>
          </w:tcPr>
          <w:p>
            <w:pPr>
              <w:pStyle w:val="TableText"/>
            </w:pPr>
            <w:r>
              <w:t xml:space="preserve">+1</w:t>
            </w:r>
          </w:p>
        </w:tc>
        <w:tc>
          <w:tcPr>
            <w:tcW w:w="0" w:type="auto"/>
          </w:tcPr>
          <w:p>
            <w:pPr>
              <w:pStyle w:val="TableText"/>
            </w:pPr>
            <w:r>
              <w:t xml:space="preserve">better</w:t>
            </w:r>
          </w:p>
        </w:tc>
      </w:tr>
    </w:tbl>
    <w:p>
      <w:pPr>
        <w:pStyle w:val="Normal"/>
      </w:pPr>
      <w:r>
        <w:t xml:space="preserve">Why: One role type has comparatively objective criteria, easy to align on with HR and turn into a validation set; once that reputation forms it is the hardest part for a competitor to copy (Canvas 9). The market is limited, though.</w:t>
      </w:r>
    </w:p>
    <w:p>
      <w:pPr>
        <w:pStyle w:val="Normal"/>
      </w:pPr>
      <w:r>
        <w:t xml:space="preserve">Who can act: design</w:t>
      </w:r>
    </w:p>
    <w:p>
      <w:pPr>
        <w:pStyle w:val="Heading2"/>
      </w:pPr>
      <w:r>
        <w:t xml:space="preserve">Step 3 · Act I · Customers and Problem (Canvas 1–2)</w:t>
      </w:r>
    </w:p>
    <w:p>
      <w:pPr>
        <w:pStyle w:val="Story"/>
      </w:pPr>
      <w:r>
        <w:t xml:space="preserve">Second question: what is the real pain? Some say too many CVs; privately, one HR says she is afraid of being blamed for missing a good candidate. Right then the university careers service emails again: they want to buy a careers edition, provided it reports the way they need.</w:t>
      </w:r>
    </w:p>
    <w:p>
      <w:pPr>
        <w:pStyle w:val="Choice"/>
      </w:pPr>
      <w:r>
        <w:t xml:space="preserve">Your choice: Ship an AI score and talent leaderboard so decisions take one click</w:t>
      </w:r>
    </w:p>
    <w:tbl>
      <w:tblPr>
        <w:tblStyle w:val="TableGrid"/>
        <w:tblW w:w="9638" w:type="dxa"/>
      </w:tblPr>
      <w:tr>
        <w:tc>
          <w:tcPr>
            <w:tcW w:w="0" w:type="auto"/>
          </w:tcPr>
          <w:p>
            <w:pPr>
              <w:pStyle w:val="TableText"/>
            </w:pPr>
            <w:r>
              <w:t xml:space="preserve">Dimension</w:t>
            </w:r>
          </w:p>
        </w:tc>
        <w:tc>
          <w:tcPr>
            <w:tcW w:w="0" w:type="auto"/>
          </w:tcPr>
          <w:p>
            <w:pPr>
              <w:pStyle w:val="TableText"/>
            </w:pPr>
            <w:r>
              <w:t xml:space="preserve">Change</w:t>
            </w:r>
          </w:p>
        </w:tc>
        <w:tc>
          <w:tcPr>
            <w:tcW w:w="0" w:type="auto"/>
          </w:tcPr>
          <w:p>
            <w:pPr>
              <w:pStyle w:val="TableText"/>
            </w:pPr>
            <w:r>
              <w:t xml:space="preserve">Verdict</w:t>
            </w:r>
          </w:p>
        </w:tc>
      </w:tr>
      <w:tr>
        <w:tc>
          <w:tcPr>
            <w:tcW w:w="0" w:type="auto"/>
          </w:tcPr>
          <w:p>
            <w:pPr>
              <w:pStyle w:val="TableText"/>
            </w:pPr>
            <w:r>
              <w:t xml:space="preserve">Business model</w:t>
            </w:r>
          </w:p>
        </w:tc>
        <w:tc>
          <w:tcPr>
            <w:tcW w:w="0" w:type="auto"/>
          </w:tcPr>
          <w:p>
            <w:pPr>
              <w:pStyle w:val="TableText"/>
            </w:pPr>
            <w:r>
              <w:t xml:space="preserve">+2</w:t>
            </w:r>
          </w:p>
        </w:tc>
        <w:tc>
          <w:tcPr>
            <w:tcW w:w="0" w:type="auto"/>
          </w:tcPr>
          <w:p>
            <w:pPr>
              <w:pStyle w:val="TableText"/>
            </w:pPr>
            <w:r>
              <w:t xml:space="preserve">better</w:t>
            </w:r>
          </w:p>
        </w:tc>
      </w:tr>
      <w:tr>
        <w:tc>
          <w:tcPr>
            <w:tcW w:w="0" w:type="auto"/>
          </w:tcPr>
          <w:p>
            <w:pPr>
              <w:pStyle w:val="TableText"/>
            </w:pPr>
            <w:r>
              <w:t xml:space="preserve">Ethics and trust risk</w:t>
            </w:r>
          </w:p>
        </w:tc>
        <w:tc>
          <w:tcPr>
            <w:tcW w:w="0" w:type="auto"/>
          </w:tcPr>
          <w:p>
            <w:pPr>
              <w:pStyle w:val="TableText"/>
            </w:pPr>
            <w:r>
              <w:t xml:space="preserve">+1</w:t>
            </w:r>
          </w:p>
        </w:tc>
        <w:tc>
          <w:tcPr>
            <w:tcW w:w="0" w:type="auto"/>
          </w:tcPr>
          <w:p>
            <w:pPr>
              <w:pStyle w:val="TableText"/>
            </w:pPr>
            <w:r>
              <w:t xml:space="preserve">worse</w:t>
            </w:r>
          </w:p>
        </w:tc>
      </w:tr>
      <w:tr>
        <w:tc>
          <w:tcPr>
            <w:tcW w:w="0" w:type="auto"/>
          </w:tcPr>
          <w:p>
            <w:pPr>
              <w:pStyle w:val="TableText"/>
            </w:pPr>
            <w:r>
              <w:t xml:space="preserve">Social expectation risk</w:t>
            </w:r>
          </w:p>
        </w:tc>
        <w:tc>
          <w:tcPr>
            <w:tcW w:w="0" w:type="auto"/>
          </w:tcPr>
          <w:p>
            <w:pPr>
              <w:pStyle w:val="TableText"/>
            </w:pPr>
            <w:r>
              <w:t xml:space="preserve">+1</w:t>
            </w:r>
          </w:p>
        </w:tc>
        <w:tc>
          <w:tcPr>
            <w:tcW w:w="0" w:type="auto"/>
          </w:tcPr>
          <w:p>
            <w:pPr>
              <w:pStyle w:val="TableText"/>
            </w:pPr>
            <w:r>
              <w:t xml:space="preserve">worse</w:t>
            </w:r>
          </w:p>
        </w:tc>
      </w:tr>
    </w:tbl>
    <w:p>
      <w:pPr>
        <w:pStyle w:val="Normal"/>
      </w:pPr>
      <w:r>
        <w:t xml:space="preserve">Why: One-click decisions match the 'save time' purchasing rationale and are easy to sign. But collapsing someone's future into one number removes the ability to question it, and accountability for automated decisions starts to vanish.</w:t>
      </w:r>
    </w:p>
    <w:p>
      <w:pPr>
        <w:pStyle w:val="Normal"/>
      </w:pPr>
      <w:r>
        <w:t xml:space="preserve">Who can act: design</w:t>
      </w:r>
    </w:p>
    <w:p>
      <w:pPr>
        <w:pStyle w:val="Heading2"/>
      </w:pPr>
      <w:r>
        <w:t xml:space="preserve">Step 4 · Act II · Solution, Data and Training (Canvas 3–4)</w:t>
      </w:r>
    </w:p>
    <w:p>
      <w:pPr>
        <w:pStyle w:val="Story"/>
      </w:pPr>
      <w:r>
        <w:t xml:space="preserve">Two MVP candidates: give HR the reasoning, or give HR the verdict?</w:t>
      </w:r>
    </w:p>
    <w:p>
      <w:pPr>
        <w:pStyle w:val="Choice"/>
      </w:pPr>
      <w:r>
        <w:t xml:space="preserve">Your choice: Candidate search with a scoring leaderboard so companies can 'shop' people</w:t>
      </w:r>
    </w:p>
    <w:tbl>
      <w:tblPr>
        <w:tblStyle w:val="TableGrid"/>
        <w:tblW w:w="9638" w:type="dxa"/>
      </w:tblPr>
      <w:tr>
        <w:tc>
          <w:tcPr>
            <w:tcW w:w="0" w:type="auto"/>
          </w:tcPr>
          <w:p>
            <w:pPr>
              <w:pStyle w:val="TableText"/>
            </w:pPr>
            <w:r>
              <w:t xml:space="preserve">Dimension</w:t>
            </w:r>
          </w:p>
        </w:tc>
        <w:tc>
          <w:tcPr>
            <w:tcW w:w="0" w:type="auto"/>
          </w:tcPr>
          <w:p>
            <w:pPr>
              <w:pStyle w:val="TableText"/>
            </w:pPr>
            <w:r>
              <w:t xml:space="preserve">Change</w:t>
            </w:r>
          </w:p>
        </w:tc>
        <w:tc>
          <w:tcPr>
            <w:tcW w:w="0" w:type="auto"/>
          </w:tcPr>
          <w:p>
            <w:pPr>
              <w:pStyle w:val="TableText"/>
            </w:pPr>
            <w:r>
              <w:t xml:space="preserve">Verdict</w:t>
            </w:r>
          </w:p>
        </w:tc>
      </w:tr>
      <w:tr>
        <w:tc>
          <w:tcPr>
            <w:tcW w:w="0" w:type="auto"/>
          </w:tcPr>
          <w:p>
            <w:pPr>
              <w:pStyle w:val="TableText"/>
            </w:pPr>
            <w:r>
              <w:t xml:space="preserve">Business model</w:t>
            </w:r>
          </w:p>
        </w:tc>
        <w:tc>
          <w:tcPr>
            <w:tcW w:w="0" w:type="auto"/>
          </w:tcPr>
          <w:p>
            <w:pPr>
              <w:pStyle w:val="TableText"/>
            </w:pPr>
            <w:r>
              <w:t xml:space="preserve">+2</w:t>
            </w:r>
          </w:p>
        </w:tc>
        <w:tc>
          <w:tcPr>
            <w:tcW w:w="0" w:type="auto"/>
          </w:tcPr>
          <w:p>
            <w:pPr>
              <w:pStyle w:val="TableText"/>
            </w:pPr>
            <w:r>
              <w:t xml:space="preserve">better</w:t>
            </w:r>
          </w:p>
        </w:tc>
      </w:tr>
      <w:tr>
        <w:tc>
          <w:tcPr>
            <w:tcW w:w="0" w:type="auto"/>
          </w:tcPr>
          <w:p>
            <w:pPr>
              <w:pStyle w:val="TableText"/>
            </w:pPr>
            <w:r>
              <w:t xml:space="preserve">National security risk</w:t>
            </w:r>
          </w:p>
        </w:tc>
        <w:tc>
          <w:tcPr>
            <w:tcW w:w="0" w:type="auto"/>
          </w:tcPr>
          <w:p>
            <w:pPr>
              <w:pStyle w:val="TableText"/>
            </w:pPr>
            <w:r>
              <w:t xml:space="preserve">+1</w:t>
            </w:r>
          </w:p>
        </w:tc>
        <w:tc>
          <w:tcPr>
            <w:tcW w:w="0" w:type="auto"/>
          </w:tcPr>
          <w:p>
            <w:pPr>
              <w:pStyle w:val="TableText"/>
            </w:pPr>
            <w:r>
              <w:t xml:space="preserve">worse</w:t>
            </w:r>
          </w:p>
        </w:tc>
      </w:tr>
      <w:tr>
        <w:tc>
          <w:tcPr>
            <w:tcW w:w="0" w:type="auto"/>
          </w:tcPr>
          <w:p>
            <w:pPr>
              <w:pStyle w:val="TableText"/>
            </w:pPr>
            <w:r>
              <w:t xml:space="preserve">Social expectation risk</w:t>
            </w:r>
          </w:p>
        </w:tc>
        <w:tc>
          <w:tcPr>
            <w:tcW w:w="0" w:type="auto"/>
          </w:tcPr>
          <w:p>
            <w:pPr>
              <w:pStyle w:val="TableText"/>
            </w:pPr>
            <w:r>
              <w:t xml:space="preserve">+2</w:t>
            </w:r>
          </w:p>
        </w:tc>
        <w:tc>
          <w:tcPr>
            <w:tcW w:w="0" w:type="auto"/>
          </w:tcPr>
          <w:p>
            <w:pPr>
              <w:pStyle w:val="TableText"/>
            </w:pPr>
            <w:r>
              <w:t xml:space="preserve">worse</w:t>
            </w:r>
          </w:p>
        </w:tc>
      </w:tr>
    </w:tbl>
    <w:p>
      <w:pPr>
        <w:pStyle w:val="Normal"/>
      </w:pPr>
      <w:r>
        <w:t xml:space="preserve">Why: A searchable talent pool monetises well and spreads fast, but concentrating structured profiles of a local workforce — including people in critical roles and industries — creates an asset of very high sensitivity.</w:t>
      </w:r>
    </w:p>
    <w:p>
      <w:pPr>
        <w:pStyle w:val="Normal"/>
      </w:pPr>
      <w:r>
        <w:t xml:space="preserve">Who can act: design</w:t>
      </w:r>
    </w:p>
    <w:p>
      <w:pPr>
        <w:pStyle w:val="Heading2"/>
      </w:pPr>
      <w:r>
        <w:t xml:space="preserve">Step 5 · Act II · Solution, Data and Training (Canvas 3–4)</w:t>
      </w:r>
    </w:p>
    <w:p>
      <w:pPr>
        <w:pStyle w:val="Story"/>
      </w:pPr>
      <w:r>
        <w:t xml:space="preserve">To read job specs the model needs a full skill taxonomy and job mapping. Building it takes months; an overseas vendor sells a ready-made API.</w:t>
      </w:r>
    </w:p>
    <w:p>
      <w:pPr>
        <w:pStyle w:val="Choice"/>
      </w:pPr>
      <w:r>
        <w:t xml:space="preserve">Your choice: Build a local taxonomy on published industry classification standards</w:t>
      </w:r>
    </w:p>
    <w:tbl>
      <w:tblPr>
        <w:tblStyle w:val="TableGrid"/>
        <w:tblW w:w="9638" w:type="dxa"/>
      </w:tblPr>
      <w:tr>
        <w:tc>
          <w:tcPr>
            <w:tcW w:w="0" w:type="auto"/>
          </w:tcPr>
          <w:p>
            <w:pPr>
              <w:pStyle w:val="TableText"/>
            </w:pPr>
            <w:r>
              <w:t xml:space="preserve">Dimension</w:t>
            </w:r>
          </w:p>
        </w:tc>
        <w:tc>
          <w:tcPr>
            <w:tcW w:w="0" w:type="auto"/>
          </w:tcPr>
          <w:p>
            <w:pPr>
              <w:pStyle w:val="TableText"/>
            </w:pPr>
            <w:r>
              <w:t xml:space="preserve">Change</w:t>
            </w:r>
          </w:p>
        </w:tc>
        <w:tc>
          <w:tcPr>
            <w:tcW w:w="0" w:type="auto"/>
          </w:tcPr>
          <w:p>
            <w:pPr>
              <w:pStyle w:val="TableText"/>
            </w:pPr>
            <w:r>
              <w:t xml:space="preserve">Verdict</w:t>
            </w:r>
          </w:p>
        </w:tc>
      </w:tr>
      <w:tr>
        <w:tc>
          <w:tcPr>
            <w:tcW w:w="0" w:type="auto"/>
          </w:tcPr>
          <w:p>
            <w:pPr>
              <w:pStyle w:val="TableText"/>
            </w:pPr>
            <w:r>
              <w:t xml:space="preserve">Problem–solution fit</w:t>
            </w:r>
          </w:p>
        </w:tc>
        <w:tc>
          <w:tcPr>
            <w:tcW w:w="0" w:type="auto"/>
          </w:tcPr>
          <w:p>
            <w:pPr>
              <w:pStyle w:val="TableText"/>
            </w:pPr>
            <w:r>
              <w:t xml:space="preserve">+1</w:t>
            </w:r>
          </w:p>
        </w:tc>
        <w:tc>
          <w:tcPr>
            <w:tcW w:w="0" w:type="auto"/>
          </w:tcPr>
          <w:p>
            <w:pPr>
              <w:pStyle w:val="TableText"/>
            </w:pPr>
            <w:r>
              <w:t xml:space="preserve">better</w:t>
            </w:r>
          </w:p>
        </w:tc>
      </w:tr>
    </w:tbl>
    <w:p>
      <w:pPr>
        <w:pStyle w:val="Normal"/>
      </w:pPr>
      <w:r>
        <w:t xml:space="preserve">Why: Building it in-house is slower but stays explainable: clear provenance, maintainable, and you can account for every weight when challenged. Localisation also improves matching quality.</w:t>
      </w:r>
    </w:p>
    <w:p>
      <w:pPr>
        <w:pStyle w:val="Normal"/>
      </w:pPr>
      <w:r>
        <w:t xml:space="preserve">Who can act: company policy</w:t>
      </w:r>
    </w:p>
    <w:p>
      <w:pPr>
        <w:pStyle w:val="Heading2"/>
      </w:pPr>
      <w:r>
        <w:t xml:space="preserve">Step 6 · Act II · Solution, Data and Training (Canvas 3–4)</w:t>
      </w:r>
    </w:p>
    <w:p>
      <w:pPr>
        <w:pStyle w:val="Story"/>
      </w:pPr>
      <w:r>
        <w:t xml:space="preserve">Validating the model needs historical hiring outcomes, and the pilot firm released only a slice. The team worries the model will look dumb.</w:t>
      </w:r>
    </w:p>
    <w:p>
      <w:pPr>
        <w:pStyle w:val="Choice"/>
      </w:pPr>
      <w:r>
        <w:t xml:space="preserve">Your choice: Use only data the pilot covered in writing and accept a small sample</w:t>
      </w:r>
    </w:p>
    <w:tbl>
      <w:tblPr>
        <w:tblStyle w:val="TableGrid"/>
        <w:tblW w:w="9638" w:type="dxa"/>
      </w:tblPr>
      <w:tr>
        <w:tc>
          <w:tcPr>
            <w:tcW w:w="0" w:type="auto"/>
          </w:tcPr>
          <w:p>
            <w:pPr>
              <w:pStyle w:val="TableText"/>
            </w:pPr>
            <w:r>
              <w:t xml:space="preserve">Dimension</w:t>
            </w:r>
          </w:p>
        </w:tc>
        <w:tc>
          <w:tcPr>
            <w:tcW w:w="0" w:type="auto"/>
          </w:tcPr>
          <w:p>
            <w:pPr>
              <w:pStyle w:val="TableText"/>
            </w:pPr>
            <w:r>
              <w:t xml:space="preserve">Change</w:t>
            </w:r>
          </w:p>
        </w:tc>
        <w:tc>
          <w:tcPr>
            <w:tcW w:w="0" w:type="auto"/>
          </w:tcPr>
          <w:p>
            <w:pPr>
              <w:pStyle w:val="TableText"/>
            </w:pPr>
            <w:r>
              <w:t xml:space="preserve">Verdict</w:t>
            </w:r>
          </w:p>
        </w:tc>
      </w:tr>
      <w:tr>
        <w:tc>
          <w:tcPr>
            <w:tcW w:w="0" w:type="auto"/>
          </w:tcPr>
          <w:p>
            <w:pPr>
              <w:pStyle w:val="TableText"/>
            </w:pPr>
            <w:r>
              <w:t xml:space="preserve">Problem–solution fit</w:t>
            </w:r>
          </w:p>
        </w:tc>
        <w:tc>
          <w:tcPr>
            <w:tcW w:w="0" w:type="auto"/>
          </w:tcPr>
          <w:p>
            <w:pPr>
              <w:pStyle w:val="TableText"/>
            </w:pPr>
            <w:r>
              <w:t xml:space="preserve">+1</w:t>
            </w:r>
          </w:p>
        </w:tc>
        <w:tc>
          <w:tcPr>
            <w:tcW w:w="0" w:type="auto"/>
          </w:tcPr>
          <w:p>
            <w:pPr>
              <w:pStyle w:val="TableText"/>
            </w:pPr>
            <w:r>
              <w:t xml:space="preserve">better</w:t>
            </w:r>
          </w:p>
        </w:tc>
      </w:tr>
    </w:tbl>
    <w:p>
      <w:pPr>
        <w:pStyle w:val="Normal"/>
      </w:pPr>
      <w:r>
        <w:t xml:space="preserve">Why: A small sample makes the metrics look worse for now, but a complete authorisation chain survives due diligence, scrutiny and client counsel questions later. You trade pace for correctness.</w:t>
      </w:r>
    </w:p>
    <w:p>
      <w:pPr>
        <w:pStyle w:val="Normal"/>
      </w:pPr>
      <w:r>
        <w:t xml:space="preserve">Who can act: company policy</w:t>
      </w:r>
    </w:p>
    <w:p>
      <w:pPr>
        <w:pStyle w:val="Heading2"/>
      </w:pPr>
      <w:r>
        <w:t xml:space="preserve">Step 7 · Act II · Solution, Data and Training (Canvas 3–4)</w:t>
      </w:r>
    </w:p>
    <w:p>
      <w:pPr>
        <w:pStyle w:val="Story"/>
      </w:pPr>
      <w:r>
        <w:t xml:space="preserve">Trained only on authorised data, the model has a small, narrow sample and degrades outside the pilot firm's job families. But for every score you can say which fields it relied on.</w:t>
      </w:r>
    </w:p>
    <w:p>
      <w:pPr>
        <w:pStyle w:val="Choice"/>
      </w:pPr>
      <w:r>
        <w:t xml:space="preserve">Your choice: Claim algorithmic compliance; release the basis only after a complaint</w:t>
      </w:r>
    </w:p>
    <w:tbl>
      <w:tblPr>
        <w:tblStyle w:val="TableGrid"/>
        <w:tblW w:w="9638" w:type="dxa"/>
      </w:tblPr>
      <w:tr>
        <w:tc>
          <w:tcPr>
            <w:tcW w:w="0" w:type="auto"/>
          </w:tcPr>
          <w:p>
            <w:pPr>
              <w:pStyle w:val="TableText"/>
            </w:pPr>
            <w:r>
              <w:t xml:space="preserve">Dimension</w:t>
            </w:r>
          </w:p>
        </w:tc>
        <w:tc>
          <w:tcPr>
            <w:tcW w:w="0" w:type="auto"/>
          </w:tcPr>
          <w:p>
            <w:pPr>
              <w:pStyle w:val="TableText"/>
            </w:pPr>
            <w:r>
              <w:t xml:space="preserve">Change</w:t>
            </w:r>
          </w:p>
        </w:tc>
        <w:tc>
          <w:tcPr>
            <w:tcW w:w="0" w:type="auto"/>
          </w:tcPr>
          <w:p>
            <w:pPr>
              <w:pStyle w:val="TableText"/>
            </w:pPr>
            <w:r>
              <w:t xml:space="preserve">Verdict</w:t>
            </w:r>
          </w:p>
        </w:tc>
      </w:tr>
      <w:tr>
        <w:tc>
          <w:tcPr>
            <w:tcW w:w="0" w:type="auto"/>
          </w:tcPr>
          <w:p>
            <w:pPr>
              <w:pStyle w:val="TableText"/>
            </w:pPr>
            <w:r>
              <w:t xml:space="preserve">Business model</w:t>
            </w:r>
          </w:p>
        </w:tc>
        <w:tc>
          <w:tcPr>
            <w:tcW w:w="0" w:type="auto"/>
          </w:tcPr>
          <w:p>
            <w:pPr>
              <w:pStyle w:val="TableText"/>
            </w:pPr>
            <w:r>
              <w:t xml:space="preserve">+2</w:t>
            </w:r>
          </w:p>
        </w:tc>
        <w:tc>
          <w:tcPr>
            <w:tcW w:w="0" w:type="auto"/>
          </w:tcPr>
          <w:p>
            <w:pPr>
              <w:pStyle w:val="TableText"/>
            </w:pPr>
            <w:r>
              <w:t xml:space="preserve">better</w:t>
            </w:r>
          </w:p>
        </w:tc>
      </w:tr>
      <w:tr>
        <w:tc>
          <w:tcPr>
            <w:tcW w:w="0" w:type="auto"/>
          </w:tcPr>
          <w:p>
            <w:pPr>
              <w:pStyle w:val="TableText"/>
            </w:pPr>
            <w:r>
              <w:t xml:space="preserve">Ethics and trust risk</w:t>
            </w:r>
          </w:p>
        </w:tc>
        <w:tc>
          <w:tcPr>
            <w:tcW w:w="0" w:type="auto"/>
          </w:tcPr>
          <w:p>
            <w:pPr>
              <w:pStyle w:val="TableText"/>
            </w:pPr>
            <w:r>
              <w:t xml:space="preserve">+1</w:t>
            </w:r>
          </w:p>
        </w:tc>
        <w:tc>
          <w:tcPr>
            <w:tcW w:w="0" w:type="auto"/>
          </w:tcPr>
          <w:p>
            <w:pPr>
              <w:pStyle w:val="TableText"/>
            </w:pPr>
            <w:r>
              <w:t xml:space="preserve">worse</w:t>
            </w:r>
          </w:p>
        </w:tc>
      </w:tr>
      <w:tr>
        <w:tc>
          <w:tcPr>
            <w:tcW w:w="0" w:type="auto"/>
          </w:tcPr>
          <w:p>
            <w:pPr>
              <w:pStyle w:val="TableText"/>
            </w:pPr>
            <w:r>
              <w:t xml:space="preserve">Social expectation risk</w:t>
            </w:r>
          </w:p>
        </w:tc>
        <w:tc>
          <w:tcPr>
            <w:tcW w:w="0" w:type="auto"/>
          </w:tcPr>
          <w:p>
            <w:pPr>
              <w:pStyle w:val="TableText"/>
            </w:pPr>
            <w:r>
              <w:t xml:space="preserve">+1</w:t>
            </w:r>
          </w:p>
        </w:tc>
        <w:tc>
          <w:tcPr>
            <w:tcW w:w="0" w:type="auto"/>
          </w:tcPr>
          <w:p>
            <w:pPr>
              <w:pStyle w:val="TableText"/>
            </w:pPr>
            <w:r>
              <w:t xml:space="preserve">worse</w:t>
            </w:r>
          </w:p>
        </w:tc>
      </w:tr>
    </w:tbl>
    <w:p>
      <w:pPr>
        <w:pStyle w:val="Normal"/>
      </w:pPr>
      <w:r>
        <w:t xml:space="preserve">Why: Business rises because you skip maintaining the scoring basis and sell more easily. Ethics and social expectation fall together: candidates were entitled to know what they were compared on, and you told nobody until a complaint arrived.</w:t>
      </w:r>
    </w:p>
    <w:p>
      <w:pPr>
        <w:pStyle w:val="Normal"/>
      </w:pPr>
      <w:r>
        <w:t xml:space="preserve">Who can act: company policy</w:t>
      </w:r>
    </w:p>
    <w:p>
      <w:pPr>
        <w:pStyle w:val="Heading2"/>
      </w:pPr>
      <w:r>
        <w:t xml:space="preserve">Step 8 · Act III · Channels, Revenue and Accountability (Canvas 5–8)</w:t>
      </w:r>
    </w:p>
    <w:p>
      <w:pPr>
        <w:pStyle w:val="Story"/>
      </w:pPr>
      <w:r>
        <w:t xml:space="preserve">You have a clean authorisation chain — how do you turn 'explainable scoring' into revenue? Sales wants a model where HR pays almost nothing — yet you would have to monetise the candidate data entrusted to you to make money, which is exactly what betrays your 'trustworthy' edge.</w:t>
      </w:r>
    </w:p>
    <w:p>
      <w:pPr>
        <w:pStyle w:val="Choice"/>
      </w:pPr>
      <w:r>
        <w:t xml:space="preserve">Your choice: Per-seat subscription with a written promise never to resell candidate data</w:t>
      </w:r>
    </w:p>
    <w:tbl>
      <w:tblPr>
        <w:tblStyle w:val="TableGrid"/>
        <w:tblW w:w="9638" w:type="dxa"/>
      </w:tblPr>
      <w:tr>
        <w:tc>
          <w:tcPr>
            <w:tcW w:w="0" w:type="auto"/>
          </w:tcPr>
          <w:p>
            <w:pPr>
              <w:pStyle w:val="TableText"/>
            </w:pPr>
            <w:r>
              <w:t xml:space="preserve">Dimension</w:t>
            </w:r>
          </w:p>
        </w:tc>
        <w:tc>
          <w:tcPr>
            <w:tcW w:w="0" w:type="auto"/>
          </w:tcPr>
          <w:p>
            <w:pPr>
              <w:pStyle w:val="TableText"/>
            </w:pPr>
            <w:r>
              <w:t xml:space="preserve">Change</w:t>
            </w:r>
          </w:p>
        </w:tc>
        <w:tc>
          <w:tcPr>
            <w:tcW w:w="0" w:type="auto"/>
          </w:tcPr>
          <w:p>
            <w:pPr>
              <w:pStyle w:val="TableText"/>
            </w:pPr>
            <w:r>
              <w:t xml:space="preserve">Verdict</w:t>
            </w:r>
          </w:p>
        </w:tc>
      </w:tr>
      <w:tr>
        <w:tc>
          <w:tcPr>
            <w:tcW w:w="0" w:type="auto"/>
          </w:tcPr>
          <w:p>
            <w:pPr>
              <w:pStyle w:val="TableText"/>
            </w:pPr>
            <w:r>
              <w:t xml:space="preserve">Business model</w:t>
            </w:r>
          </w:p>
        </w:tc>
        <w:tc>
          <w:tcPr>
            <w:tcW w:w="0" w:type="auto"/>
          </w:tcPr>
          <w:p>
            <w:pPr>
              <w:pStyle w:val="TableText"/>
            </w:pPr>
            <w:r>
              <w:t xml:space="preserve">+2</w:t>
            </w:r>
          </w:p>
        </w:tc>
        <w:tc>
          <w:tcPr>
            <w:tcW w:w="0" w:type="auto"/>
          </w:tcPr>
          <w:p>
            <w:pPr>
              <w:pStyle w:val="TableText"/>
            </w:pPr>
            <w:r>
              <w:t xml:space="preserve">better</w:t>
            </w:r>
          </w:p>
        </w:tc>
      </w:tr>
      <w:tr>
        <w:tc>
          <w:tcPr>
            <w:tcW w:w="0" w:type="auto"/>
          </w:tcPr>
          <w:p>
            <w:pPr>
              <w:pStyle w:val="TableText"/>
            </w:pPr>
            <w:r>
              <w:t xml:space="preserve">Moat and unfair advantage</w:t>
            </w:r>
          </w:p>
        </w:tc>
        <w:tc>
          <w:tcPr>
            <w:tcW w:w="0" w:type="auto"/>
          </w:tcPr>
          <w:p>
            <w:pPr>
              <w:pStyle w:val="TableText"/>
            </w:pPr>
            <w:r>
              <w:t xml:space="preserve">+1</w:t>
            </w:r>
          </w:p>
        </w:tc>
        <w:tc>
          <w:tcPr>
            <w:tcW w:w="0" w:type="auto"/>
          </w:tcPr>
          <w:p>
            <w:pPr>
              <w:pStyle w:val="TableText"/>
            </w:pPr>
            <w:r>
              <w:t xml:space="preserve">better</w:t>
            </w:r>
          </w:p>
        </w:tc>
      </w:tr>
    </w:tbl>
    <w:p>
      <w:pPr>
        <w:pStyle w:val="Normal"/>
      </w:pPr>
      <w:r>
        <w:t xml:space="preserve">Why: Subscriptions collect money slowest, but 'we never resell' written into the contract becomes a two-sided promise to candidates and HR alike — and in this industry trust is the hardest advantage to copy (Canvas 9).</w:t>
      </w:r>
    </w:p>
    <w:p>
      <w:pPr>
        <w:pStyle w:val="Normal"/>
      </w:pPr>
      <w:r>
        <w:t xml:space="preserve">Who can act: company policy</w:t>
      </w:r>
    </w:p>
    <w:p>
      <w:pPr>
        <w:pStyle w:val="Heading2"/>
      </w:pPr>
      <w:r>
        <w:t xml:space="preserve">Step 9 · Act III · Channels, Revenue and Accountability (Canvas 5–8)</w:t>
      </w:r>
    </w:p>
    <w:p>
      <w:pPr>
        <w:pStyle w:val="Story"/>
      </w:pPr>
      <w:r>
        <w:t xml:space="preserve">How do you reach more employers? One recruitment agent says he can put you in front of three hundred firms. You hold an 'explainable' reputation asset — how do you amplify it?</w:t>
      </w:r>
    </w:p>
    <w:p>
      <w:pPr>
        <w:pStyle w:val="Choice"/>
      </w:pPr>
      <w:r>
        <w:t xml:space="preserve">Your choice: Grow through HR communities and referrals, taking only clients you can serve</w:t>
      </w:r>
    </w:p>
    <w:tbl>
      <w:tblPr>
        <w:tblStyle w:val="TableGrid"/>
        <w:tblW w:w="9638" w:type="dxa"/>
      </w:tblPr>
      <w:tr>
        <w:tc>
          <w:tcPr>
            <w:tcW w:w="0" w:type="auto"/>
          </w:tcPr>
          <w:p>
            <w:pPr>
              <w:pStyle w:val="TableText"/>
            </w:pPr>
            <w:r>
              <w:t xml:space="preserve">Dimension</w:t>
            </w:r>
          </w:p>
        </w:tc>
        <w:tc>
          <w:tcPr>
            <w:tcW w:w="0" w:type="auto"/>
          </w:tcPr>
          <w:p>
            <w:pPr>
              <w:pStyle w:val="TableText"/>
            </w:pPr>
            <w:r>
              <w:t xml:space="preserve">Change</w:t>
            </w:r>
          </w:p>
        </w:tc>
        <w:tc>
          <w:tcPr>
            <w:tcW w:w="0" w:type="auto"/>
          </w:tcPr>
          <w:p>
            <w:pPr>
              <w:pStyle w:val="TableText"/>
            </w:pPr>
            <w:r>
              <w:t xml:space="preserve">Verdict</w:t>
            </w:r>
          </w:p>
        </w:tc>
      </w:tr>
      <w:tr>
        <w:tc>
          <w:tcPr>
            <w:tcW w:w="0" w:type="auto"/>
          </w:tcPr>
          <w:p>
            <w:pPr>
              <w:pStyle w:val="TableText"/>
            </w:pPr>
            <w:r>
              <w:t xml:space="preserve">Business model</w:t>
            </w:r>
          </w:p>
        </w:tc>
        <w:tc>
          <w:tcPr>
            <w:tcW w:w="0" w:type="auto"/>
          </w:tcPr>
          <w:p>
            <w:pPr>
              <w:pStyle w:val="TableText"/>
            </w:pPr>
            <w:r>
              <w:t xml:space="preserve">0</w:t>
            </w:r>
          </w:p>
        </w:tc>
        <w:tc>
          <w:tcPr>
            <w:tcW w:w="0" w:type="auto"/>
          </w:tcPr>
          <w:p>
            <w:pPr>
              <w:pStyle w:val="TableText"/>
            </w:pPr>
            <w:r>
              <w:t xml:space="preserve">unchanged</w:t>
            </w:r>
          </w:p>
        </w:tc>
      </w:tr>
      <w:tr>
        <w:tc>
          <w:tcPr>
            <w:tcW w:w="0" w:type="auto"/>
          </w:tcPr>
          <w:p>
            <w:pPr>
              <w:pStyle w:val="TableText"/>
            </w:pPr>
            <w:r>
              <w:t xml:space="preserve">Problem–solution fit</w:t>
            </w:r>
          </w:p>
        </w:tc>
        <w:tc>
          <w:tcPr>
            <w:tcW w:w="0" w:type="auto"/>
          </w:tcPr>
          <w:p>
            <w:pPr>
              <w:pStyle w:val="TableText"/>
            </w:pPr>
            <w:r>
              <w:t xml:space="preserve">+1</w:t>
            </w:r>
          </w:p>
        </w:tc>
        <w:tc>
          <w:tcPr>
            <w:tcW w:w="0" w:type="auto"/>
          </w:tcPr>
          <w:p>
            <w:pPr>
              <w:pStyle w:val="TableText"/>
            </w:pPr>
            <w:r>
              <w:t xml:space="preserve">better</w:t>
            </w:r>
          </w:p>
        </w:tc>
      </w:tr>
    </w:tbl>
    <w:p>
      <w:pPr>
        <w:pStyle w:val="Normal"/>
      </w:pPr>
      <w:r>
        <w:t xml:space="preserve">Why: It is slow, but every client forces you to explain your scoring, which raises fit; referrals are the cheapest channel per win and renew best (Canvas 5).</w:t>
      </w:r>
    </w:p>
    <w:p>
      <w:pPr>
        <w:pStyle w:val="Normal"/>
      </w:pPr>
      <w:r>
        <w:t xml:space="preserve">Who can act: company policy</w:t>
      </w:r>
    </w:p>
    <w:p>
      <w:pPr>
        <w:pStyle w:val="Heading2"/>
      </w:pPr>
      <w:r>
        <w:t xml:space="preserve">Step 10 · Act III · Channels, Revenue and Accountability (Canvas 5–8)</w:t>
      </w:r>
    </w:p>
    <w:p>
      <w:pPr>
        <w:pStyle w:val="Story"/>
      </w:pPr>
      <w:r>
        <w:t xml:space="preserve">A friend in law school warns: if an AI helps decide who gets an interview, candidates usually have the right to know and to request human review. Your line lives on 'explainable' — make it the default, or hide it for conversion?</w:t>
      </w:r>
    </w:p>
    <w:p>
      <w:pPr>
        <w:pStyle w:val="Choice"/>
      </w:pPr>
      <w:r>
        <w:t xml:space="preserve">Your choice: No candidate-facing disclosure; externally it is a 'system assessment'</w:t>
      </w:r>
    </w:p>
    <w:tbl>
      <w:tblPr>
        <w:tblStyle w:val="TableGrid"/>
        <w:tblW w:w="9638" w:type="dxa"/>
      </w:tblPr>
      <w:tr>
        <w:tc>
          <w:tcPr>
            <w:tcW w:w="0" w:type="auto"/>
          </w:tcPr>
          <w:p>
            <w:pPr>
              <w:pStyle w:val="TableText"/>
            </w:pPr>
            <w:r>
              <w:t xml:space="preserve">Dimension</w:t>
            </w:r>
          </w:p>
        </w:tc>
        <w:tc>
          <w:tcPr>
            <w:tcW w:w="0" w:type="auto"/>
          </w:tcPr>
          <w:p>
            <w:pPr>
              <w:pStyle w:val="TableText"/>
            </w:pPr>
            <w:r>
              <w:t xml:space="preserve">Change</w:t>
            </w:r>
          </w:p>
        </w:tc>
        <w:tc>
          <w:tcPr>
            <w:tcW w:w="0" w:type="auto"/>
          </w:tcPr>
          <w:p>
            <w:pPr>
              <w:pStyle w:val="TableText"/>
            </w:pPr>
            <w:r>
              <w:t xml:space="preserve">Verdict</w:t>
            </w:r>
          </w:p>
        </w:tc>
      </w:tr>
      <w:tr>
        <w:tc>
          <w:tcPr>
            <w:tcW w:w="0" w:type="auto"/>
          </w:tcPr>
          <w:p>
            <w:pPr>
              <w:pStyle w:val="TableText"/>
            </w:pPr>
            <w:r>
              <w:t xml:space="preserve">Business model</w:t>
            </w:r>
          </w:p>
        </w:tc>
        <w:tc>
          <w:tcPr>
            <w:tcW w:w="0" w:type="auto"/>
          </w:tcPr>
          <w:p>
            <w:pPr>
              <w:pStyle w:val="TableText"/>
            </w:pPr>
            <w:r>
              <w:t xml:space="preserve">0</w:t>
            </w:r>
          </w:p>
        </w:tc>
        <w:tc>
          <w:tcPr>
            <w:tcW w:w="0" w:type="auto"/>
          </w:tcPr>
          <w:p>
            <w:pPr>
              <w:pStyle w:val="TableText"/>
            </w:pPr>
            <w:r>
              <w:t xml:space="preserve">unchanged</w:t>
            </w:r>
          </w:p>
        </w:tc>
      </w:tr>
      <w:tr>
        <w:tc>
          <w:tcPr>
            <w:tcW w:w="0" w:type="auto"/>
          </w:tcPr>
          <w:p>
            <w:pPr>
              <w:pStyle w:val="TableText"/>
            </w:pPr>
            <w:r>
              <w:t xml:space="preserve">Legal compliance risk</w:t>
            </w:r>
          </w:p>
        </w:tc>
        <w:tc>
          <w:tcPr>
            <w:tcW w:w="0" w:type="auto"/>
          </w:tcPr>
          <w:p>
            <w:pPr>
              <w:pStyle w:val="TableText"/>
            </w:pPr>
            <w:r>
              <w:t xml:space="preserve">+3</w:t>
            </w:r>
          </w:p>
        </w:tc>
        <w:tc>
          <w:tcPr>
            <w:tcW w:w="0" w:type="auto"/>
          </w:tcPr>
          <w:p>
            <w:pPr>
              <w:pStyle w:val="TableText"/>
            </w:pPr>
            <w:r>
              <w:t xml:space="preserve">worse</w:t>
            </w:r>
          </w:p>
        </w:tc>
      </w:tr>
      <w:tr>
        <w:tc>
          <w:tcPr>
            <w:tcW w:w="0" w:type="auto"/>
          </w:tcPr>
          <w:p>
            <w:pPr>
              <w:pStyle w:val="TableText"/>
            </w:pPr>
            <w:r>
              <w:t xml:space="preserve">Ethics and trust risk</w:t>
            </w:r>
          </w:p>
        </w:tc>
        <w:tc>
          <w:tcPr>
            <w:tcW w:w="0" w:type="auto"/>
          </w:tcPr>
          <w:p>
            <w:pPr>
              <w:pStyle w:val="TableText"/>
            </w:pPr>
            <w:r>
              <w:t xml:space="preserve">+2</w:t>
            </w:r>
          </w:p>
        </w:tc>
        <w:tc>
          <w:tcPr>
            <w:tcW w:w="0" w:type="auto"/>
          </w:tcPr>
          <w:p>
            <w:pPr>
              <w:pStyle w:val="TableText"/>
            </w:pPr>
            <w:r>
              <w:t xml:space="preserve">worse</w:t>
            </w:r>
          </w:p>
        </w:tc>
      </w:tr>
      <w:tr>
        <w:tc>
          <w:tcPr>
            <w:tcW w:w="0" w:type="auto"/>
          </w:tcPr>
          <w:p>
            <w:pPr>
              <w:pStyle w:val="TableText"/>
            </w:pPr>
            <w:r>
              <w:t xml:space="preserve">Social expectation risk</w:t>
            </w:r>
          </w:p>
        </w:tc>
        <w:tc>
          <w:tcPr>
            <w:tcW w:w="0" w:type="auto"/>
          </w:tcPr>
          <w:p>
            <w:pPr>
              <w:pStyle w:val="TableText"/>
            </w:pPr>
            <w:r>
              <w:t xml:space="preserve">+2</w:t>
            </w:r>
          </w:p>
        </w:tc>
        <w:tc>
          <w:tcPr>
            <w:tcW w:w="0" w:type="auto"/>
          </w:tcPr>
          <w:p>
            <w:pPr>
              <w:pStyle w:val="TableText"/>
            </w:pPr>
            <w:r>
              <w:t xml:space="preserve">worse</w:t>
            </w:r>
          </w:p>
        </w:tc>
      </w:tr>
    </w:tbl>
    <w:p>
      <w:pPr>
        <w:pStyle w:val="Normal"/>
      </w:pPr>
      <w:r>
        <w:t xml:space="preserve">Why: Not disclosing avoids a lot of explaining and keeps clients comfortable. But automated decisions touching employment increasingly require notice, explanation and human involvement; concealment is typically treated as procedural unfairness.</w:t>
      </w:r>
    </w:p>
    <w:p>
      <w:pPr>
        <w:pStyle w:val="Normal"/>
      </w:pPr>
      <w:r>
        <w:t xml:space="preserve">Who can act: law</w:t>
      </w:r>
    </w:p>
    <w:p>
      <w:pPr>
        <w:pStyle w:val="Heading2"/>
      </w:pPr>
      <w:r>
        <w:t xml:space="preserve">Step 11 · Act III · Channels, Revenue and Accountability (Canvas 5–8)</w:t>
      </w:r>
    </w:p>
    <w:p>
      <w:pPr>
        <w:pStyle w:val="Story"/>
      </w:pPr>
      <w:r>
        <w:t xml:space="preserve">Internal testing shows systematically lower scores for people with long career gaps, candidates over forty, and anyone without a famous employer on their CV. Someone argues the data simply looks like that.</w:t>
      </w:r>
    </w:p>
    <w:p>
      <w:pPr>
        <w:pStyle w:val="Choice"/>
      </w:pPr>
      <w:r>
        <w:t xml:space="preserve">Your choice: Ship now and declare the intended population as 'graduates of leading institutions'</w:t>
      </w:r>
    </w:p>
    <w:tbl>
      <w:tblPr>
        <w:tblStyle w:val="TableGrid"/>
        <w:tblW w:w="9638" w:type="dxa"/>
      </w:tblPr>
      <w:tr>
        <w:tc>
          <w:tcPr>
            <w:tcW w:w="0" w:type="auto"/>
          </w:tcPr>
          <w:p>
            <w:pPr>
              <w:pStyle w:val="TableText"/>
            </w:pPr>
            <w:r>
              <w:t xml:space="preserve">Dimension</w:t>
            </w:r>
          </w:p>
        </w:tc>
        <w:tc>
          <w:tcPr>
            <w:tcW w:w="0" w:type="auto"/>
          </w:tcPr>
          <w:p>
            <w:pPr>
              <w:pStyle w:val="TableText"/>
            </w:pPr>
            <w:r>
              <w:t xml:space="preserve">Change</w:t>
            </w:r>
          </w:p>
        </w:tc>
        <w:tc>
          <w:tcPr>
            <w:tcW w:w="0" w:type="auto"/>
          </w:tcPr>
          <w:p>
            <w:pPr>
              <w:pStyle w:val="TableText"/>
            </w:pPr>
            <w:r>
              <w:t xml:space="preserve">Verdict</w:t>
            </w:r>
          </w:p>
        </w:tc>
      </w:tr>
      <w:tr>
        <w:tc>
          <w:tcPr>
            <w:tcW w:w="0" w:type="auto"/>
          </w:tcPr>
          <w:p>
            <w:pPr>
              <w:pStyle w:val="TableText"/>
            </w:pPr>
            <w:r>
              <w:t xml:space="preserve">Ethics and trust risk</w:t>
            </w:r>
          </w:p>
        </w:tc>
        <w:tc>
          <w:tcPr>
            <w:tcW w:w="0" w:type="auto"/>
          </w:tcPr>
          <w:p>
            <w:pPr>
              <w:pStyle w:val="TableText"/>
            </w:pPr>
            <w:r>
              <w:t xml:space="preserve">+3</w:t>
            </w:r>
          </w:p>
        </w:tc>
        <w:tc>
          <w:tcPr>
            <w:tcW w:w="0" w:type="auto"/>
          </w:tcPr>
          <w:p>
            <w:pPr>
              <w:pStyle w:val="TableText"/>
            </w:pPr>
            <w:r>
              <w:t xml:space="preserve">worse</w:t>
            </w:r>
          </w:p>
        </w:tc>
      </w:tr>
      <w:tr>
        <w:tc>
          <w:tcPr>
            <w:tcW w:w="0" w:type="auto"/>
          </w:tcPr>
          <w:p>
            <w:pPr>
              <w:pStyle w:val="TableText"/>
            </w:pPr>
            <w:r>
              <w:t xml:space="preserve">Legal compliance risk</w:t>
            </w:r>
          </w:p>
        </w:tc>
        <w:tc>
          <w:tcPr>
            <w:tcW w:w="0" w:type="auto"/>
          </w:tcPr>
          <w:p>
            <w:pPr>
              <w:pStyle w:val="TableText"/>
            </w:pPr>
            <w:r>
              <w:t xml:space="preserve">+1</w:t>
            </w:r>
          </w:p>
        </w:tc>
        <w:tc>
          <w:tcPr>
            <w:tcW w:w="0" w:type="auto"/>
          </w:tcPr>
          <w:p>
            <w:pPr>
              <w:pStyle w:val="TableText"/>
            </w:pPr>
            <w:r>
              <w:t xml:space="preserve">worse</w:t>
            </w:r>
          </w:p>
        </w:tc>
      </w:tr>
      <w:tr>
        <w:tc>
          <w:tcPr>
            <w:tcW w:w="0" w:type="auto"/>
          </w:tcPr>
          <w:p>
            <w:pPr>
              <w:pStyle w:val="TableText"/>
            </w:pPr>
            <w:r>
              <w:t xml:space="preserve">Business model</w:t>
            </w:r>
          </w:p>
        </w:tc>
        <w:tc>
          <w:tcPr>
            <w:tcW w:w="0" w:type="auto"/>
          </w:tcPr>
          <w:p>
            <w:pPr>
              <w:pStyle w:val="TableText"/>
            </w:pPr>
            <w:r>
              <w:t xml:space="preserve">0</w:t>
            </w:r>
          </w:p>
        </w:tc>
        <w:tc>
          <w:tcPr>
            <w:tcW w:w="0" w:type="auto"/>
          </w:tcPr>
          <w:p>
            <w:pPr>
              <w:pStyle w:val="TableText"/>
            </w:pPr>
            <w:r>
              <w:t xml:space="preserve">unchanged</w:t>
            </w:r>
          </w:p>
        </w:tc>
      </w:tr>
      <w:tr>
        <w:tc>
          <w:tcPr>
            <w:tcW w:w="0" w:type="auto"/>
          </w:tcPr>
          <w:p>
            <w:pPr>
              <w:pStyle w:val="TableText"/>
            </w:pPr>
            <w:r>
              <w:t xml:space="preserve">Social expectation risk</w:t>
            </w:r>
          </w:p>
        </w:tc>
        <w:tc>
          <w:tcPr>
            <w:tcW w:w="0" w:type="auto"/>
          </w:tcPr>
          <w:p>
            <w:pPr>
              <w:pStyle w:val="TableText"/>
            </w:pPr>
            <w:r>
              <w:t xml:space="preserve">+2</w:t>
            </w:r>
          </w:p>
        </w:tc>
        <w:tc>
          <w:tcPr>
            <w:tcW w:w="0" w:type="auto"/>
          </w:tcPr>
          <w:p>
            <w:pPr>
              <w:pStyle w:val="TableText"/>
            </w:pPr>
            <w:r>
              <w:t xml:space="preserve">worse</w:t>
            </w:r>
          </w:p>
        </w:tc>
      </w:tr>
    </w:tbl>
    <w:p>
      <w:pPr>
        <w:pStyle w:val="Normal"/>
      </w:pPr>
      <w:r>
        <w:t xml:space="preserve">Why: Fine print will not contain the systemic effect, and once someone loses an opportunity the burden of proof stays with you. This turns known disparate impact into a shipped feature. Launch stays on schedule.</w:t>
      </w:r>
    </w:p>
    <w:p>
      <w:pPr>
        <w:pStyle w:val="Normal"/>
      </w:pPr>
      <w:r>
        <w:t xml:space="preserve">Who can act: law</w:t>
      </w:r>
    </w:p>
    <w:p>
      <w:pPr>
        <w:pStyle w:val="Heading2"/>
      </w:pPr>
      <w:r>
        <w:t xml:space="preserve">Step 12 · Act III · Channels, Revenue and Accountability (Canvas 5–8)</w:t>
      </w:r>
    </w:p>
    <w:p>
      <w:pPr>
        <w:pStyle w:val="Story"/>
      </w:pPr>
      <w:r>
        <w:t xml:space="preserve">A candidate over forty consults the labour authority: rejected seven times by the same system, never given a reason. Reporters start asking what the score actually rests on.</w:t>
      </w:r>
    </w:p>
    <w:p>
      <w:pPr>
        <w:pStyle w:val="Choice"/>
      </w:pPr>
      <w:r>
        <w:t xml:space="preserve">Your choice: Add score explanations and a human review channel; publish the known limitations</w:t>
      </w:r>
    </w:p>
    <w:tbl>
      <w:tblPr>
        <w:tblStyle w:val="TableGrid"/>
        <w:tblW w:w="9638" w:type="dxa"/>
      </w:tblPr>
      <w:tr>
        <w:tc>
          <w:tcPr>
            <w:tcW w:w="0" w:type="auto"/>
          </w:tcPr>
          <w:p>
            <w:pPr>
              <w:pStyle w:val="TableText"/>
            </w:pPr>
            <w:r>
              <w:t xml:space="preserve">Dimension</w:t>
            </w:r>
          </w:p>
        </w:tc>
        <w:tc>
          <w:tcPr>
            <w:tcW w:w="0" w:type="auto"/>
          </w:tcPr>
          <w:p>
            <w:pPr>
              <w:pStyle w:val="TableText"/>
            </w:pPr>
            <w:r>
              <w:t xml:space="preserve">Change</w:t>
            </w:r>
          </w:p>
        </w:tc>
        <w:tc>
          <w:tcPr>
            <w:tcW w:w="0" w:type="auto"/>
          </w:tcPr>
          <w:p>
            <w:pPr>
              <w:pStyle w:val="TableText"/>
            </w:pPr>
            <w:r>
              <w:t xml:space="preserve">Verdict</w:t>
            </w:r>
          </w:p>
        </w:tc>
      </w:tr>
      <w:tr>
        <w:tc>
          <w:tcPr>
            <w:tcW w:w="0" w:type="auto"/>
          </w:tcPr>
          <w:p>
            <w:pPr>
              <w:pStyle w:val="TableText"/>
            </w:pPr>
            <w:r>
              <w:t xml:space="preserve">Ethics and trust risk</w:t>
            </w:r>
          </w:p>
        </w:tc>
        <w:tc>
          <w:tcPr>
            <w:tcW w:w="0" w:type="auto"/>
          </w:tcPr>
          <w:p>
            <w:pPr>
              <w:pStyle w:val="TableText"/>
            </w:pPr>
            <w:r>
              <w:t xml:space="preserve">-1</w:t>
            </w:r>
          </w:p>
        </w:tc>
        <w:tc>
          <w:tcPr>
            <w:tcW w:w="0" w:type="auto"/>
          </w:tcPr>
          <w:p>
            <w:pPr>
              <w:pStyle w:val="TableText"/>
            </w:pPr>
            <w:r>
              <w:t xml:space="preserve">better</w:t>
            </w:r>
          </w:p>
        </w:tc>
      </w:tr>
      <w:tr>
        <w:tc>
          <w:tcPr>
            <w:tcW w:w="0" w:type="auto"/>
          </w:tcPr>
          <w:p>
            <w:pPr>
              <w:pStyle w:val="TableText"/>
            </w:pPr>
            <w:r>
              <w:t xml:space="preserve">Legal compliance risk</w:t>
            </w:r>
          </w:p>
        </w:tc>
        <w:tc>
          <w:tcPr>
            <w:tcW w:w="0" w:type="auto"/>
          </w:tcPr>
          <w:p>
            <w:pPr>
              <w:pStyle w:val="TableText"/>
            </w:pPr>
            <w:r>
              <w:t xml:space="preserve">-1</w:t>
            </w:r>
          </w:p>
        </w:tc>
        <w:tc>
          <w:tcPr>
            <w:tcW w:w="0" w:type="auto"/>
          </w:tcPr>
          <w:p>
            <w:pPr>
              <w:pStyle w:val="TableText"/>
            </w:pPr>
            <w:r>
              <w:t xml:space="preserve">better</w:t>
            </w:r>
          </w:p>
        </w:tc>
      </w:tr>
      <w:tr>
        <w:tc>
          <w:tcPr>
            <w:tcW w:w="0" w:type="auto"/>
          </w:tcPr>
          <w:p>
            <w:pPr>
              <w:pStyle w:val="TableText"/>
            </w:pPr>
            <w:r>
              <w:t xml:space="preserve">Business model</w:t>
            </w:r>
          </w:p>
        </w:tc>
        <w:tc>
          <w:tcPr>
            <w:tcW w:w="0" w:type="auto"/>
          </w:tcPr>
          <w:p>
            <w:pPr>
              <w:pStyle w:val="TableText"/>
            </w:pPr>
            <w:r>
              <w:t xml:space="preserve">-1</w:t>
            </w:r>
          </w:p>
        </w:tc>
        <w:tc>
          <w:tcPr>
            <w:tcW w:w="0" w:type="auto"/>
          </w:tcPr>
          <w:p>
            <w:pPr>
              <w:pStyle w:val="TableText"/>
            </w:pPr>
            <w:r>
              <w:t xml:space="preserve">worse</w:t>
            </w:r>
          </w:p>
        </w:tc>
      </w:tr>
      <w:tr>
        <w:tc>
          <w:tcPr>
            <w:tcW w:w="0" w:type="auto"/>
          </w:tcPr>
          <w:p>
            <w:pPr>
              <w:pStyle w:val="TableText"/>
            </w:pPr>
            <w:r>
              <w:t xml:space="preserve">Problem–solution fit</w:t>
            </w:r>
          </w:p>
        </w:tc>
        <w:tc>
          <w:tcPr>
            <w:tcW w:w="0" w:type="auto"/>
          </w:tcPr>
          <w:p>
            <w:pPr>
              <w:pStyle w:val="TableText"/>
            </w:pPr>
            <w:r>
              <w:t xml:space="preserve">+1</w:t>
            </w:r>
          </w:p>
        </w:tc>
        <w:tc>
          <w:tcPr>
            <w:tcW w:w="0" w:type="auto"/>
          </w:tcPr>
          <w:p>
            <w:pPr>
              <w:pStyle w:val="TableText"/>
            </w:pPr>
            <w:r>
              <w:t xml:space="preserve">better</w:t>
            </w:r>
          </w:p>
        </w:tc>
      </w:tr>
    </w:tbl>
    <w:p>
      <w:pPr>
        <w:pStyle w:val="Normal"/>
      </w:pPr>
      <w:r>
        <w:t xml:space="preserve">Why: Ethics and legal both fall, because the misjudgement stops, but business falls too, because clients see the revenue drop before they see the improvement. It does not return the seven rejections; fixing it only stops it happening again.</w:t>
      </w:r>
    </w:p>
    <w:p>
      <w:pPr>
        <w:pStyle w:val="Normal"/>
      </w:pPr>
      <w:r>
        <w:t xml:space="preserve">Who can act: company policy</w:t>
      </w:r>
    </w:p>
    <w:p>
      <w:pPr>
        <w:pStyle w:val="Heading2"/>
      </w:pPr>
      <w:r>
        <w:t xml:space="preserve">Step 13 · Act IV · Scale and Spillover (Canvas 7, 9)</w:t>
      </w:r>
    </w:p>
    <w:p>
      <w:pPr>
        <w:pStyle w:val="Story"/>
      </w:pPr>
      <w:r>
        <w:t xml:space="preserve">That candidate's complaint is still running, and three institutions arrive with money: an offshore HR SaaS giant, generous but asking for candidate-data access; a local industry fund, smaller and stricter, data local; and voices urging subscriptions alone. Three term sheets — and the unfair advantage in Canvas 9 is usually written into those terms.</w:t>
      </w:r>
    </w:p>
    <w:p>
      <w:pPr>
        <w:pStyle w:val="Choice"/>
      </w:pPr>
      <w:r>
        <w:t xml:space="preserve">Your choice: Take a local industry fund: slower expansion, data stays local</w:t>
      </w:r>
    </w:p>
    <w:tbl>
      <w:tblPr>
        <w:tblStyle w:val="TableGrid"/>
        <w:tblW w:w="9638" w:type="dxa"/>
      </w:tblPr>
      <w:tr>
        <w:tc>
          <w:tcPr>
            <w:tcW w:w="0" w:type="auto"/>
          </w:tcPr>
          <w:p>
            <w:pPr>
              <w:pStyle w:val="TableText"/>
            </w:pPr>
            <w:r>
              <w:t xml:space="preserve">Dimension</w:t>
            </w:r>
          </w:p>
        </w:tc>
        <w:tc>
          <w:tcPr>
            <w:tcW w:w="0" w:type="auto"/>
          </w:tcPr>
          <w:p>
            <w:pPr>
              <w:pStyle w:val="TableText"/>
            </w:pPr>
            <w:r>
              <w:t xml:space="preserve">Change</w:t>
            </w:r>
          </w:p>
        </w:tc>
        <w:tc>
          <w:tcPr>
            <w:tcW w:w="0" w:type="auto"/>
          </w:tcPr>
          <w:p>
            <w:pPr>
              <w:pStyle w:val="TableText"/>
            </w:pPr>
            <w:r>
              <w:t xml:space="preserve">Verdict</w:t>
            </w:r>
          </w:p>
        </w:tc>
      </w:tr>
      <w:tr>
        <w:tc>
          <w:tcPr>
            <w:tcW w:w="0" w:type="auto"/>
          </w:tcPr>
          <w:p>
            <w:pPr>
              <w:pStyle w:val="TableText"/>
            </w:pPr>
            <w:r>
              <w:t xml:space="preserve">Business model</w:t>
            </w:r>
          </w:p>
        </w:tc>
        <w:tc>
          <w:tcPr>
            <w:tcW w:w="0" w:type="auto"/>
          </w:tcPr>
          <w:p>
            <w:pPr>
              <w:pStyle w:val="TableText"/>
            </w:pPr>
            <w:r>
              <w:t xml:space="preserve">+1</w:t>
            </w:r>
          </w:p>
        </w:tc>
        <w:tc>
          <w:tcPr>
            <w:tcW w:w="0" w:type="auto"/>
          </w:tcPr>
          <w:p>
            <w:pPr>
              <w:pStyle w:val="TableText"/>
            </w:pPr>
            <w:r>
              <w:t xml:space="preserve">better</w:t>
            </w:r>
          </w:p>
        </w:tc>
      </w:tr>
      <w:tr>
        <w:tc>
          <w:tcPr>
            <w:tcW w:w="0" w:type="auto"/>
          </w:tcPr>
          <w:p>
            <w:pPr>
              <w:pStyle w:val="TableText"/>
            </w:pPr>
            <w:r>
              <w:t xml:space="preserve">Moat and unfair advantage</w:t>
            </w:r>
          </w:p>
        </w:tc>
        <w:tc>
          <w:tcPr>
            <w:tcW w:w="0" w:type="auto"/>
          </w:tcPr>
          <w:p>
            <w:pPr>
              <w:pStyle w:val="TableText"/>
            </w:pPr>
            <w:r>
              <w:t xml:space="preserve">+2</w:t>
            </w:r>
          </w:p>
        </w:tc>
        <w:tc>
          <w:tcPr>
            <w:tcW w:w="0" w:type="auto"/>
          </w:tcPr>
          <w:p>
            <w:pPr>
              <w:pStyle w:val="TableText"/>
            </w:pPr>
            <w:r>
              <w:t xml:space="preserve">better</w:t>
            </w:r>
          </w:p>
        </w:tc>
      </w:tr>
    </w:tbl>
    <w:p>
      <w:pPr>
        <w:pStyle w:val="Normal"/>
      </w:pPr>
      <w:r>
        <w:t xml:space="preserve">Why: Local capital is smaller and its terms more conservative, but data sovereignty and the audit trail stay intact, which means you will not be stumped in reviews by government, universities or large employers.</w:t>
      </w:r>
    </w:p>
    <w:p>
      <w:pPr>
        <w:pStyle w:val="Normal"/>
      </w:pPr>
      <w:r>
        <w:t xml:space="preserve">Who can act: company policy</w:t>
      </w:r>
    </w:p>
    <w:p>
      <w:pPr>
        <w:pStyle w:val="Heading2"/>
      </w:pPr>
      <w:r>
        <w:t xml:space="preserve">Step 14 · Act IV · Scale and Spillover (Canvas 7, 9)</w:t>
      </w:r>
    </w:p>
    <w:p>
      <w:pPr>
        <w:pStyle w:val="Story"/>
      </w:pPr>
      <w:r>
        <w:t xml:space="preserve">A labour-rights group ran a matched-pair test: identical CVs differing only in gender and age scored two bands apart. They are preparing a regulatory complaint and demanding the algorithm be explained.</w:t>
      </w:r>
    </w:p>
    <w:p>
      <w:pPr>
        <w:pStyle w:val="Choice"/>
      </w:pPr>
      <w:r>
        <w:t xml:space="preserve">Your choice: Commission an independent algorithm audit, publish a summary, build explainability</w:t>
      </w:r>
    </w:p>
    <w:tbl>
      <w:tblPr>
        <w:tblStyle w:val="TableGrid"/>
        <w:tblW w:w="9638" w:type="dxa"/>
      </w:tblPr>
      <w:tr>
        <w:tc>
          <w:tcPr>
            <w:tcW w:w="0" w:type="auto"/>
          </w:tcPr>
          <w:p>
            <w:pPr>
              <w:pStyle w:val="TableText"/>
            </w:pPr>
            <w:r>
              <w:t xml:space="preserve">Dimension</w:t>
            </w:r>
          </w:p>
        </w:tc>
        <w:tc>
          <w:tcPr>
            <w:tcW w:w="0" w:type="auto"/>
          </w:tcPr>
          <w:p>
            <w:pPr>
              <w:pStyle w:val="TableText"/>
            </w:pPr>
            <w:r>
              <w:t xml:space="preserve">Change</w:t>
            </w:r>
          </w:p>
        </w:tc>
        <w:tc>
          <w:tcPr>
            <w:tcW w:w="0" w:type="auto"/>
          </w:tcPr>
          <w:p>
            <w:pPr>
              <w:pStyle w:val="TableText"/>
            </w:pPr>
            <w:r>
              <w:t xml:space="preserve">Verdict</w:t>
            </w:r>
          </w:p>
        </w:tc>
      </w:tr>
      <w:tr>
        <w:tc>
          <w:tcPr>
            <w:tcW w:w="0" w:type="auto"/>
          </w:tcPr>
          <w:p>
            <w:pPr>
              <w:pStyle w:val="TableText"/>
            </w:pPr>
            <w:r>
              <w:t xml:space="preserve">Moat and unfair advantage</w:t>
            </w:r>
          </w:p>
        </w:tc>
        <w:tc>
          <w:tcPr>
            <w:tcW w:w="0" w:type="auto"/>
          </w:tcPr>
          <w:p>
            <w:pPr>
              <w:pStyle w:val="TableText"/>
            </w:pPr>
            <w:r>
              <w:t xml:space="preserve">+2</w:t>
            </w:r>
          </w:p>
        </w:tc>
        <w:tc>
          <w:tcPr>
            <w:tcW w:w="0" w:type="auto"/>
          </w:tcPr>
          <w:p>
            <w:pPr>
              <w:pStyle w:val="TableText"/>
            </w:pPr>
            <w:r>
              <w:t xml:space="preserve">better</w:t>
            </w:r>
          </w:p>
        </w:tc>
      </w:tr>
      <w:tr>
        <w:tc>
          <w:tcPr>
            <w:tcW w:w="0" w:type="auto"/>
          </w:tcPr>
          <w:p>
            <w:pPr>
              <w:pStyle w:val="TableText"/>
            </w:pPr>
            <w:r>
              <w:t xml:space="preserve">Business model</w:t>
            </w:r>
          </w:p>
        </w:tc>
        <w:tc>
          <w:tcPr>
            <w:tcW w:w="0" w:type="auto"/>
          </w:tcPr>
          <w:p>
            <w:pPr>
              <w:pStyle w:val="TableText"/>
            </w:pPr>
            <w:r>
              <w:t xml:space="preserve">-1</w:t>
            </w:r>
          </w:p>
        </w:tc>
        <w:tc>
          <w:tcPr>
            <w:tcW w:w="0" w:type="auto"/>
          </w:tcPr>
          <w:p>
            <w:pPr>
              <w:pStyle w:val="TableText"/>
            </w:pPr>
            <w:r>
              <w:t xml:space="preserve">worse</w:t>
            </w:r>
          </w:p>
        </w:tc>
      </w:tr>
    </w:tbl>
    <w:p>
      <w:pPr>
        <w:pStyle w:val="Normal"/>
      </w:pPr>
      <w:r>
        <w:t xml:space="preserve">Why: Auditing costs money and publishing invites criticism (business score drops), but a citable independent conclusion makes you the one vendor that large employers, public procurement and career offices can safely pick.</w:t>
      </w:r>
    </w:p>
    <w:p>
      <w:pPr>
        <w:pStyle w:val="Normal"/>
      </w:pPr>
      <w:r>
        <w:t xml:space="preserve">Who can act: design</w:t>
      </w:r>
    </w:p>
    <w:p>
      <w:pPr>
        <w:pStyle w:val="Flavour"/>
      </w:pPr>
      <w:r>
        <w:t xml:space="preserve">No randomness in this run: the ending is fully determined by the 14 choices above.</w:t>
      </w:r>
    </w:p>
    <w:sectPr>
      <w:pgSz w:w="11906" w:h="16838"/>
      <w:pgMar w:top="1134" w:right="1134" w:bottom="1134" w:left="1134"/>
    </w:sectPr>
  </w:body>
</w:document>
</file>

<file path=word/styles.xml><?xml version="1.0" encoding="utf-8"?>
<w:styles xmlns:w="http://schemas.openxmlformats.org/wordprocessingml/2006/main">
  <w:docDefaults>
    <w:rPrDefault>
      <w:rPr>
        <w:rFonts w:ascii="Calibri" w:hAnsi="Calibri" w:eastAsia="PingFang SC"/>
        <w:sz w:val="21"/>
      </w:rPr>
    </w:rPrDefault>
  </w:docDefaults>
  <w:style w:type="paragraph" w:styleId="Title">
    <w:name w:val="Title"/>
    <w:pPr>
      <w:spacing w:before="120" w:after="60"/>
    </w:pPr>
    <w:rPr>
      <w:b/>
      <w:sz w:val="40"/>
    </w:rPr>
  </w:style>
  <w:style w:type="paragraph" w:styleId="Heading1">
    <w:name w:val="heading 1"/>
    <w:pPr>
      <w:spacing w:before="120" w:after="60"/>
    </w:pPr>
    <w:rPr>
      <w:b/>
      <w:sz w:val="30"/>
    </w:rPr>
  </w:style>
  <w:style w:type="paragraph" w:styleId="Heading2">
    <w:name w:val="heading 2"/>
    <w:pPr>
      <w:spacing w:before="120" w:after="60"/>
    </w:pPr>
    <w:rPr>
      <w:b/>
      <w:sz w:val="25"/>
    </w:rPr>
  </w:style>
  <w:style w:type="paragraph" w:styleId="Normal">
    <w:name w:val="Normal"/>
    <w:pPr>
      <w:spacing w:before="120" w:after="60"/>
    </w:pPr>
    <w:rPr>
      <w:sz w:val="21"/>
    </w:rPr>
  </w:style>
  <w:style w:type="paragraph" w:styleId="Story">
    <w:name w:val="Story"/>
    <w:pPr>
      <w:spacing w:before="120" w:after="60"/>
    </w:pPr>
    <w:rPr>
      <w:i/>
      <w:sz w:val="21"/>
    </w:rPr>
  </w:style>
  <w:style w:type="paragraph" w:styleId="Flavour">
    <w:name w:val="Flavour"/>
    <w:pPr>
      <w:spacing w:before="120" w:after="60"/>
    </w:pPr>
    <w:rPr>
      <w:i/>
      <w:sz w:val="20"/>
    </w:rPr>
  </w:style>
  <w:style w:type="paragraph" w:styleId="Choice">
    <w:name w:val="Choice"/>
    <w:pPr>
      <w:spacing w:before="120" w:after="60"/>
    </w:pPr>
    <w:rPr>
      <w:b/>
      <w:sz w:val="22"/>
    </w:rPr>
  </w:style>
  <w:style w:type="paragraph" w:styleId="TableText">
    <w:name w:val="Table Text"/>
    <w:pPr>
      <w:spacing w:before="120" w:after="60"/>
    </w:pPr>
    <w:rPr>
      <w:sz w:val="19"/>
    </w:rPr>
  </w:style>
  <w:style w:type="table" w:styleId="TableGrid">
    <w:name w:val="Table Grid"/>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