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Choices · Run Report</w:t>
      </w:r>
    </w:p>
    <w:p>
      <w:pPr>
        <w:pStyle w:val="Heading2"/>
      </w:pPr>
      <w:r>
        <w:t xml:space="preserve">HireSight: An AI Hiring Platform</w:t>
      </w:r>
    </w:p>
    <w:p>
      <w:pPr>
        <w:pStyle w:val="Normal"/>
      </w:pPr>
      <w:r>
        <w:t xml:space="preserve">Algorithmic scoring, worker rights and talent data</w:t>
      </w:r>
    </w:p>
    <w:p>
      <w:pPr>
        <w:pStyle w:val="Normal"/>
      </w:pPr>
      <w:r>
        <w:t xml:space="preserve">Exported 16/10/2026, 09:12:35</w:t>
      </w:r>
    </w:p>
    <w:p>
      <w:pPr>
        <w:pStyle w:val="Heading2"/>
      </w:pPr>
      <w:r>
        <w:t xml:space="preserve">Outcome quadrant: High risk × strong value · 😭 Boom-then-bust</w:t>
      </w:r>
    </w:p>
    <w:p>
      <w:pPr>
        <w:pStyle w:val="Heading1"/>
      </w:pPr>
      <w:r>
        <w:t xml:space="preserve">1. THE VENTURE</w:t>
      </w:r>
    </w:p>
    <w:tbl>
      <w:tblPr>
        <w:tblStyle w:val="TableGrid"/>
        <w:tblW w:w="9638" w:type="dxa"/>
      </w:tblPr>
      <w:tr>
        <w:tc>
          <w:tcPr>
            <w:tcW w:w="0" w:type="auto"/>
          </w:tcPr>
          <w:p>
            <w:pPr>
              <w:pStyle w:val="TableText"/>
            </w:pPr>
            <w:r>
              <w:t xml:space="preserve">What it does</w:t>
            </w:r>
          </w:p>
        </w:tc>
        <w:tc>
          <w:tcPr>
            <w:tcW w:w="0" w:type="auto"/>
          </w:tcPr>
          <w:p>
            <w:pPr>
              <w:pStyle w:val="TableText"/>
            </w:pPr>
            <w:r>
              <w:t xml:space="preserve">A CV-screening tool for HR: upload a batch of CVs and the model scores and ranks each candidate against the job spec; it can later extend into interview coaching and skills assessment.</w:t>
            </w:r>
          </w:p>
        </w:tc>
      </w:tr>
      <w:tr>
        <w:tc>
          <w:tcPr>
            <w:tcW w:w="0" w:type="auto"/>
          </w:tcPr>
          <w:p>
            <w:pPr>
              <w:pStyle w:val="TableText"/>
            </w:pPr>
            <w:r>
              <w:t xml:space="preserve">Who buys it</w:t>
            </w:r>
          </w:p>
        </w:tc>
        <w:tc>
          <w:tcPr>
            <w:tcW w:w="0" w:type="auto"/>
          </w:tcPr>
          <w:p>
            <w:pPr>
              <w:pStyle w:val="TableText"/>
            </w:pPr>
            <w:r>
              <w:t xml:space="preserve">HR teams and recruitment outsourcers at small and mid-sized firms; university careers services are also potential buyers.</w:t>
            </w:r>
          </w:p>
        </w:tc>
      </w:tr>
      <w:tr>
        <w:tc>
          <w:tcPr>
            <w:tcW w:w="0" w:type="auto"/>
          </w:tcPr>
          <w:p>
            <w:pPr>
              <w:pStyle w:val="TableText"/>
            </w:pPr>
            <w:r>
              <w:t xml:space="preserve">Where it stands</w:t>
            </w:r>
          </w:p>
        </w:tc>
        <w:tc>
          <w:tcPr>
            <w:tcW w:w="0" w:type="auto"/>
          </w:tcPr>
          <w:p>
            <w:pPr>
              <w:pStyle w:val="TableText"/>
            </w:pPr>
            <w:r>
              <w:t xml:space="preserve">Version one is finished in the incubator and a local manufacturer is paying for a pilot. Three people, pricing not settled.</w:t>
            </w:r>
          </w:p>
        </w:tc>
      </w:tr>
      <w:tr>
        <w:tc>
          <w:tcPr>
            <w:tcW w:w="0" w:type="auto"/>
          </w:tcPr>
          <w:p>
            <w:pPr>
              <w:pStyle w:val="TableText"/>
            </w:pPr>
            <w:r>
              <w:t xml:space="preserve">Data it touches</w:t>
            </w:r>
          </w:p>
        </w:tc>
        <w:tc>
          <w:tcPr>
            <w:tcW w:w="0" w:type="auto"/>
          </w:tcPr>
          <w:p>
            <w:pPr>
              <w:pStyle w:val="TableText"/>
            </w:pPr>
            <w:r>
              <w:t xml:space="preserve">Identities, education, work history and assessment results from CVs. If scoring feeds who gets an interview, that is automated decision-making — candidates normally have the right to know and to ask for human review.</w:t>
            </w:r>
          </w:p>
        </w:tc>
      </w:tr>
    </w:tbl>
    <w:p>
      <w:pPr>
        <w:pStyle w:val="Heading1"/>
      </w:pPr>
      <w:r>
        <w:t xml:space="preserve">2. Score ledger</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Start → Final</w:t>
            </w:r>
          </w:p>
        </w:tc>
        <w:tc>
          <w:tcPr>
            <w:tcW w:w="0" w:type="auto"/>
          </w:tcPr>
          <w:p>
            <w:pPr>
              <w:pStyle w:val="TableText"/>
            </w:pPr>
            <w:r>
              <w:t xml:space="preserve">Net</w:t>
            </w:r>
          </w:p>
        </w:tc>
        <w:tc>
          <w:tcPr>
            <w:tcW w:w="0" w:type="auto"/>
          </w:tcPr>
          <w:p>
            <w:pPr>
              <w:pStyle w:val="TableText"/>
            </w:pPr>
            <w:r>
              <w:t xml:space="preserve">Verdict</w:t>
            </w:r>
          </w:p>
        </w:tc>
      </w:tr>
      <w:tr>
        <w:tc>
          <w:tcPr>
            <w:tcW w:w="0" w:type="auto"/>
          </w:tcPr>
          <w:p>
            <w:pPr>
              <w:pStyle w:val="TableText"/>
            </w:pPr>
            <w:r>
              <w:t xml:space="preserve">National security risk</w:t>
            </w:r>
          </w:p>
        </w:tc>
        <w:tc>
          <w:tcPr>
            <w:tcW w:w="0" w:type="auto"/>
          </w:tcPr>
          <w:p>
            <w:pPr>
              <w:pStyle w:val="TableText"/>
            </w:pPr>
            <w:r>
              <w:t xml:space="preserve">0 → 1</w:t>
            </w:r>
          </w:p>
        </w:tc>
        <w:tc>
          <w:tcPr>
            <w:tcW w:w="0" w:type="auto"/>
          </w:tcPr>
          <w:p>
            <w:pPr>
              <w:pStyle w:val="TableText"/>
            </w:pPr>
            <w:r>
              <w:t xml:space="preserve">+1</w:t>
            </w:r>
          </w:p>
        </w:tc>
        <w:tc>
          <w:tcPr>
            <w:tcW w:w="0" w:type="auto"/>
          </w:tcPr>
          <w:p>
            <w:pPr>
              <w:pStyle w:val="TableText"/>
            </w:pPr>
            <w:r>
              <w:t xml:space="preserve">worse</w:t>
            </w:r>
          </w:p>
        </w:tc>
      </w:tr>
      <w:tr>
        <w:tc>
          <w:tcPr>
            <w:tcW w:w="0" w:type="auto"/>
          </w:tcPr>
          <w:p>
            <w:pPr>
              <w:pStyle w:val="TableText"/>
            </w:pPr>
            <w:r>
              <w:t xml:space="preserve">Legal compliance risk</w:t>
            </w:r>
          </w:p>
        </w:tc>
        <w:tc>
          <w:tcPr>
            <w:tcW w:w="0" w:type="auto"/>
          </w:tcPr>
          <w:p>
            <w:pPr>
              <w:pStyle w:val="TableText"/>
            </w:pPr>
            <w:r>
              <w:t xml:space="preserve">0 → 3</w:t>
            </w:r>
          </w:p>
        </w:tc>
        <w:tc>
          <w:tcPr>
            <w:tcW w:w="0" w:type="auto"/>
          </w:tcPr>
          <w:p>
            <w:pPr>
              <w:pStyle w:val="TableText"/>
            </w:pPr>
            <w:r>
              <w:t xml:space="preserve">+3</w:t>
            </w:r>
          </w:p>
        </w:tc>
        <w:tc>
          <w:tcPr>
            <w:tcW w:w="0" w:type="auto"/>
          </w:tcPr>
          <w:p>
            <w:pPr>
              <w:pStyle w:val="TableText"/>
            </w:pPr>
            <w:r>
              <w:t xml:space="preserve">worse</w:t>
            </w:r>
          </w:p>
        </w:tc>
      </w:tr>
      <w:tr>
        <w:tc>
          <w:tcPr>
            <w:tcW w:w="0" w:type="auto"/>
          </w:tcPr>
          <w:p>
            <w:pPr>
              <w:pStyle w:val="TableText"/>
            </w:pPr>
            <w:r>
              <w:t xml:space="preserve">Ethics and trust risk</w:t>
            </w:r>
          </w:p>
        </w:tc>
        <w:tc>
          <w:tcPr>
            <w:tcW w:w="0" w:type="auto"/>
          </w:tcPr>
          <w:p>
            <w:pPr>
              <w:pStyle w:val="TableText"/>
            </w:pPr>
            <w:r>
              <w:t xml:space="preserve">0 → 6</w:t>
            </w:r>
          </w:p>
        </w:tc>
        <w:tc>
          <w:tcPr>
            <w:tcW w:w="0" w:type="auto"/>
          </w:tcPr>
          <w:p>
            <w:pPr>
              <w:pStyle w:val="TableText"/>
            </w:pPr>
            <w:r>
              <w:t xml:space="preserve">+6</w:t>
            </w:r>
          </w:p>
        </w:tc>
        <w:tc>
          <w:tcPr>
            <w:tcW w:w="0" w:type="auto"/>
          </w:tcPr>
          <w:p>
            <w:pPr>
              <w:pStyle w:val="TableText"/>
            </w:pPr>
            <w:r>
              <w:t xml:space="preserve">worse</w:t>
            </w:r>
          </w:p>
        </w:tc>
      </w:tr>
      <w:tr>
        <w:tc>
          <w:tcPr>
            <w:tcW w:w="0" w:type="auto"/>
          </w:tcPr>
          <w:p>
            <w:pPr>
              <w:pStyle w:val="TableText"/>
            </w:pPr>
            <w:r>
              <w:t xml:space="preserve">Social expectation risk</w:t>
            </w:r>
          </w:p>
        </w:tc>
        <w:tc>
          <w:tcPr>
            <w:tcW w:w="0" w:type="auto"/>
          </w:tcPr>
          <w:p>
            <w:pPr>
              <w:pStyle w:val="TableText"/>
            </w:pPr>
            <w:r>
              <w:t xml:space="preserve">1 → 9</w:t>
            </w:r>
          </w:p>
        </w:tc>
        <w:tc>
          <w:tcPr>
            <w:tcW w:w="0" w:type="auto"/>
          </w:tcPr>
          <w:p>
            <w:pPr>
              <w:pStyle w:val="TableText"/>
            </w:pPr>
            <w:r>
              <w:t xml:space="preserve">+8</w:t>
            </w:r>
          </w:p>
        </w:tc>
        <w:tc>
          <w:tcPr>
            <w:tcW w:w="0" w:type="auto"/>
          </w:tcPr>
          <w:p>
            <w:pPr>
              <w:pStyle w:val="TableText"/>
            </w:pPr>
            <w:r>
              <w:t xml:space="preserve">worse</w:t>
            </w:r>
          </w:p>
        </w:tc>
      </w:tr>
      <w:tr>
        <w:tc>
          <w:tcPr>
            <w:tcW w:w="0" w:type="auto"/>
          </w:tcPr>
          <w:p>
            <w:pPr>
              <w:pStyle w:val="TableText"/>
            </w:pPr>
            <w:r>
              <w:t xml:space="preserve">Problem–solution fit</w:t>
            </w:r>
          </w:p>
        </w:tc>
        <w:tc>
          <w:tcPr>
            <w:tcW w:w="0" w:type="auto"/>
          </w:tcPr>
          <w:p>
            <w:pPr>
              <w:pStyle w:val="TableText"/>
            </w:pPr>
            <w:r>
              <w:t xml:space="preserve">2 → 8</w:t>
            </w:r>
          </w:p>
        </w:tc>
        <w:tc>
          <w:tcPr>
            <w:tcW w:w="0" w:type="auto"/>
          </w:tcPr>
          <w:p>
            <w:pPr>
              <w:pStyle w:val="TableText"/>
            </w:pPr>
            <w:r>
              <w:t xml:space="preserve">+6</w:t>
            </w:r>
          </w:p>
        </w:tc>
        <w:tc>
          <w:tcPr>
            <w:tcW w:w="0" w:type="auto"/>
          </w:tcPr>
          <w:p>
            <w:pPr>
              <w:pStyle w:val="TableText"/>
            </w:pPr>
            <w:r>
              <w:t xml:space="preserve">better</w:t>
            </w:r>
          </w:p>
        </w:tc>
      </w:tr>
      <w:tr>
        <w:tc>
          <w:tcPr>
            <w:tcW w:w="0" w:type="auto"/>
          </w:tcPr>
          <w:p>
            <w:pPr>
              <w:pStyle w:val="TableText"/>
            </w:pPr>
            <w:r>
              <w:t xml:space="preserve">Business model</w:t>
            </w:r>
          </w:p>
        </w:tc>
        <w:tc>
          <w:tcPr>
            <w:tcW w:w="0" w:type="auto"/>
          </w:tcPr>
          <w:p>
            <w:pPr>
              <w:pStyle w:val="TableText"/>
            </w:pPr>
            <w:r>
              <w:t xml:space="preserve">2 → 9</w:t>
            </w:r>
          </w:p>
        </w:tc>
        <w:tc>
          <w:tcPr>
            <w:tcW w:w="0" w:type="auto"/>
          </w:tcPr>
          <w:p>
            <w:pPr>
              <w:pStyle w:val="TableText"/>
            </w:pPr>
            <w:r>
              <w:t xml:space="preserve">+7</w:t>
            </w:r>
          </w:p>
        </w:tc>
        <w:tc>
          <w:tcPr>
            <w:tcW w:w="0" w:type="auto"/>
          </w:tcPr>
          <w:p>
            <w:pPr>
              <w:pStyle w:val="TableText"/>
            </w:pPr>
            <w:r>
              <w:t xml:space="preserve">better</w:t>
            </w:r>
          </w:p>
        </w:tc>
      </w:tr>
      <w:tr>
        <w:tc>
          <w:tcPr>
            <w:tcW w:w="0" w:type="auto"/>
          </w:tcPr>
          <w:p>
            <w:pPr>
              <w:pStyle w:val="TableText"/>
            </w:pPr>
            <w:r>
              <w:t xml:space="preserve">Moat and unfair advantage</w:t>
            </w:r>
          </w:p>
        </w:tc>
        <w:tc>
          <w:tcPr>
            <w:tcW w:w="0" w:type="auto"/>
          </w:tcPr>
          <w:p>
            <w:pPr>
              <w:pStyle w:val="TableText"/>
            </w:pPr>
            <w:r>
              <w:t xml:space="preserve">1 → 7</w:t>
            </w:r>
          </w:p>
        </w:tc>
        <w:tc>
          <w:tcPr>
            <w:tcW w:w="0" w:type="auto"/>
          </w:tcPr>
          <w:p>
            <w:pPr>
              <w:pStyle w:val="TableText"/>
            </w:pPr>
            <w:r>
              <w:t xml:space="preserve">+6</w:t>
            </w:r>
          </w:p>
        </w:tc>
        <w:tc>
          <w:tcPr>
            <w:tcW w:w="0" w:type="auto"/>
          </w:tcPr>
          <w:p>
            <w:pPr>
              <w:pStyle w:val="TableText"/>
            </w:pPr>
            <w:r>
              <w:t xml:space="preserve">better</w:t>
            </w:r>
          </w:p>
        </w:tc>
      </w:tr>
    </w:tbl>
    <w:p>
      <w:pPr>
        <w:pStyle w:val="Heading1"/>
      </w:pPr>
      <w:r>
        <w:t xml:space="preserve">3. Decision trail (14 steps)</w:t>
      </w:r>
    </w:p>
    <w:p>
      <w:pPr>
        <w:pStyle w:val="Heading2"/>
      </w:pPr>
      <w:r>
        <w:t xml:space="preserve">Step 1 · Act I · Customers and Problem (Canvas 1–2)</w:t>
      </w:r>
    </w:p>
    <w:p>
      <w:pPr>
        <w:pStyle w:val="Story"/>
      </w:pPr>
      <w:r>
        <w:t xml:space="preserve">Three of you finished version one in the incubator. An HR lead at a local manufacturer tried it and said it was the fastest screening tool she had ever used. Then she asked why certain candidates scored so low. Nobody could answer.</w:t>
      </w:r>
    </w:p>
    <w:p>
      <w:pPr>
        <w:pStyle w:val="Choice"/>
      </w:pPr>
      <w:r>
        <w:t xml:space="preserve">Your choice: Sign the pilot contract and form the team</w:t>
      </w:r>
    </w:p>
    <w:p>
      <w:pPr>
        <w:pStyle w:val="Normal"/>
      </w:pPr>
      <w:r>
        <w:t xml:space="preserve">Why: This turns the pilot opportunity into an operating venture and opens the later product and growth decisions. It does not change any score by itself; measurable effects begin with the next choice.</w:t>
      </w:r>
    </w:p>
    <w:p>
      <w:pPr>
        <w:pStyle w:val="Heading2"/>
      </w:pPr>
      <w:r>
        <w:t xml:space="preserve">Step 2 · Act I · Customers and Problem (Canvas 1–2)</w:t>
      </w:r>
    </w:p>
    <w:p>
      <w:pPr>
        <w:pStyle w:val="Story"/>
      </w:pPr>
      <w:r>
        <w:t xml:space="preserve">First question: who do you serve first? The career centre says graduate CV volume is up another thirty per cent this year.</w:t>
      </w:r>
    </w:p>
    <w:p>
      <w:pPr>
        <w:pStyle w:val="Choice"/>
      </w:pPr>
      <w:r>
        <w:t xml:space="preserve">Your choice: Go deep on technical roles at small and mid-sized tech firms</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Problem–solution fit</w:t>
            </w:r>
          </w:p>
        </w:tc>
        <w:tc>
          <w:tcPr>
            <w:tcW w:w="0" w:type="auto"/>
          </w:tcPr>
          <w:p>
            <w:pPr>
              <w:pStyle w:val="TableText"/>
            </w:pPr>
            <w:r>
              <w:t xml:space="preserve">+2</w:t>
            </w:r>
          </w:p>
        </w:tc>
        <w:tc>
          <w:tcPr>
            <w:tcW w:w="0" w:type="auto"/>
          </w:tcPr>
          <w:p>
            <w:pPr>
              <w:pStyle w:val="TableText"/>
            </w:pPr>
            <w:r>
              <w:t xml:space="preserve">better</w:t>
            </w:r>
          </w:p>
        </w:tc>
      </w:tr>
      <w:tr>
        <w:tc>
          <w:tcPr>
            <w:tcW w:w="0" w:type="auto"/>
          </w:tcPr>
          <w:p>
            <w:pPr>
              <w:pStyle w:val="TableText"/>
            </w:pPr>
            <w:r>
              <w:t xml:space="preserve">Moat and unfair advantage</w:t>
            </w:r>
          </w:p>
        </w:tc>
        <w:tc>
          <w:tcPr>
            <w:tcW w:w="0" w:type="auto"/>
          </w:tcPr>
          <w:p>
            <w:pPr>
              <w:pStyle w:val="TableText"/>
            </w:pPr>
            <w:r>
              <w:t xml:space="preserve">+1</w:t>
            </w:r>
          </w:p>
        </w:tc>
        <w:tc>
          <w:tcPr>
            <w:tcW w:w="0" w:type="auto"/>
          </w:tcPr>
          <w:p>
            <w:pPr>
              <w:pStyle w:val="TableText"/>
            </w:pPr>
            <w:r>
              <w:t xml:space="preserve">better</w:t>
            </w:r>
          </w:p>
        </w:tc>
      </w:tr>
    </w:tbl>
    <w:p>
      <w:pPr>
        <w:pStyle w:val="Normal"/>
      </w:pPr>
      <w:r>
        <w:t xml:space="preserve">Why: One role type has comparatively objective criteria, easy to align on with HR and turn into a validation set; once that reputation forms it is the hardest part for a competitor to copy (Canvas 9). The market is limited, though.</w:t>
      </w:r>
    </w:p>
    <w:p>
      <w:pPr>
        <w:pStyle w:val="Normal"/>
      </w:pPr>
      <w:r>
        <w:t xml:space="preserve">Who can act: design</w:t>
      </w:r>
    </w:p>
    <w:p>
      <w:pPr>
        <w:pStyle w:val="Heading2"/>
      </w:pPr>
      <w:r>
        <w:t xml:space="preserve">Step 3 · Act I · Customers and Problem (Canvas 1–2)</w:t>
      </w:r>
    </w:p>
    <w:p>
      <w:pPr>
        <w:pStyle w:val="Story"/>
      </w:pPr>
      <w:r>
        <w:t xml:space="preserve">Second question: what is the real pain? Some say too many CVs; privately, one HR says she is afraid of being blamed for missing a good candidate. Right then the university careers service emails again: they want to buy a careers edition, provided it reports the way they need.</w:t>
      </w:r>
    </w:p>
    <w:p>
      <w:pPr>
        <w:pStyle w:val="Choice"/>
      </w:pPr>
      <w:r>
        <w:t xml:space="preserve">Your choice: Ship an AI score and talent leaderboard so decisions take one click</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+2</w:t>
            </w:r>
          </w:p>
        </w:tc>
        <w:tc>
          <w:tcPr>
            <w:tcW w:w="0" w:type="auto"/>
          </w:tcPr>
          <w:p>
            <w:pPr>
              <w:pStyle w:val="TableText"/>
            </w:pPr>
            <w:r>
              <w:t xml:space="preserve">better</w:t>
            </w:r>
          </w:p>
        </w:tc>
      </w:tr>
      <w:tr>
        <w:tc>
          <w:tcPr>
            <w:tcW w:w="0" w:type="auto"/>
          </w:tcPr>
          <w:p>
            <w:pPr>
              <w:pStyle w:val="TableText"/>
            </w:pPr>
            <w:r>
              <w:t xml:space="preserve">Ethics and trust risk</w:t>
            </w:r>
          </w:p>
        </w:tc>
        <w:tc>
          <w:tcPr>
            <w:tcW w:w="0" w:type="auto"/>
          </w:tcPr>
          <w:p>
            <w:pPr>
              <w:pStyle w:val="TableText"/>
            </w:pPr>
            <w:r>
              <w:t xml:space="preserve">+1</w:t>
            </w:r>
          </w:p>
        </w:tc>
        <w:tc>
          <w:tcPr>
            <w:tcW w:w="0" w:type="auto"/>
          </w:tcPr>
          <w:p>
            <w:pPr>
              <w:pStyle w:val="TableText"/>
            </w:pPr>
            <w:r>
              <w:t xml:space="preserve">worse</w:t>
            </w:r>
          </w:p>
        </w:tc>
      </w:tr>
      <w:tr>
        <w:tc>
          <w:tcPr>
            <w:tcW w:w="0" w:type="auto"/>
          </w:tcPr>
          <w:p>
            <w:pPr>
              <w:pStyle w:val="TableText"/>
            </w:pPr>
            <w:r>
              <w:t xml:space="preserve">Social expectation risk</w:t>
            </w:r>
          </w:p>
        </w:tc>
        <w:tc>
          <w:tcPr>
            <w:tcW w:w="0" w:type="auto"/>
          </w:tcPr>
          <w:p>
            <w:pPr>
              <w:pStyle w:val="TableText"/>
            </w:pPr>
            <w:r>
              <w:t xml:space="preserve">+1</w:t>
            </w:r>
          </w:p>
        </w:tc>
        <w:tc>
          <w:tcPr>
            <w:tcW w:w="0" w:type="auto"/>
          </w:tcPr>
          <w:p>
            <w:pPr>
              <w:pStyle w:val="TableText"/>
            </w:pPr>
            <w:r>
              <w:t xml:space="preserve">worse</w:t>
            </w:r>
          </w:p>
        </w:tc>
      </w:tr>
    </w:tbl>
    <w:p>
      <w:pPr>
        <w:pStyle w:val="Normal"/>
      </w:pPr>
      <w:r>
        <w:t xml:space="preserve">Why: One-click decisions match the 'save time' purchasing rationale and are easy to sign. But collapsing someone's future into one number removes the ability to question it, and accountability for automated decisions starts to vanish.</w:t>
      </w:r>
    </w:p>
    <w:p>
      <w:pPr>
        <w:pStyle w:val="Normal"/>
      </w:pPr>
      <w:r>
        <w:t xml:space="preserve">Who can act: design</w:t>
      </w:r>
    </w:p>
    <w:p>
      <w:pPr>
        <w:pStyle w:val="Heading2"/>
      </w:pPr>
      <w:r>
        <w:t xml:space="preserve">Step 4 · Act II · Solution, Data and Training (Canvas 3–4)</w:t>
      </w:r>
    </w:p>
    <w:p>
      <w:pPr>
        <w:pStyle w:val="Story"/>
      </w:pPr>
      <w:r>
        <w:t xml:space="preserve">Two MVP candidates: give HR the reasoning, or give HR the verdict?</w:t>
      </w:r>
    </w:p>
    <w:p>
      <w:pPr>
        <w:pStyle w:val="Choice"/>
      </w:pPr>
      <w:r>
        <w:t xml:space="preserve">Your choice: Candidate search with a scoring leaderboard so companies can 'shop' people</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+2</w:t>
            </w:r>
          </w:p>
        </w:tc>
        <w:tc>
          <w:tcPr>
            <w:tcW w:w="0" w:type="auto"/>
          </w:tcPr>
          <w:p>
            <w:pPr>
              <w:pStyle w:val="TableText"/>
            </w:pPr>
            <w:r>
              <w:t xml:space="preserve">better</w:t>
            </w:r>
          </w:p>
        </w:tc>
      </w:tr>
      <w:tr>
        <w:tc>
          <w:tcPr>
            <w:tcW w:w="0" w:type="auto"/>
          </w:tcPr>
          <w:p>
            <w:pPr>
              <w:pStyle w:val="TableText"/>
            </w:pPr>
            <w:r>
              <w:t xml:space="preserve">National security risk</w:t>
            </w:r>
          </w:p>
        </w:tc>
        <w:tc>
          <w:tcPr>
            <w:tcW w:w="0" w:type="auto"/>
          </w:tcPr>
          <w:p>
            <w:pPr>
              <w:pStyle w:val="TableText"/>
            </w:pPr>
            <w:r>
              <w:t xml:space="preserve">+1</w:t>
            </w:r>
          </w:p>
        </w:tc>
        <w:tc>
          <w:tcPr>
            <w:tcW w:w="0" w:type="auto"/>
          </w:tcPr>
          <w:p>
            <w:pPr>
              <w:pStyle w:val="TableText"/>
            </w:pPr>
            <w:r>
              <w:t xml:space="preserve">worse</w:t>
            </w:r>
          </w:p>
        </w:tc>
      </w:tr>
      <w:tr>
        <w:tc>
          <w:tcPr>
            <w:tcW w:w="0" w:type="auto"/>
          </w:tcPr>
          <w:p>
            <w:pPr>
              <w:pStyle w:val="TableText"/>
            </w:pPr>
            <w:r>
              <w:t xml:space="preserve">Social expectation risk</w:t>
            </w:r>
          </w:p>
        </w:tc>
        <w:tc>
          <w:tcPr>
            <w:tcW w:w="0" w:type="auto"/>
          </w:tcPr>
          <w:p>
            <w:pPr>
              <w:pStyle w:val="TableText"/>
            </w:pPr>
            <w:r>
              <w:t xml:space="preserve">+2</w:t>
            </w:r>
          </w:p>
        </w:tc>
        <w:tc>
          <w:tcPr>
            <w:tcW w:w="0" w:type="auto"/>
          </w:tcPr>
          <w:p>
            <w:pPr>
              <w:pStyle w:val="TableText"/>
            </w:pPr>
            <w:r>
              <w:t xml:space="preserve">worse</w:t>
            </w:r>
          </w:p>
        </w:tc>
      </w:tr>
    </w:tbl>
    <w:p>
      <w:pPr>
        <w:pStyle w:val="Normal"/>
      </w:pPr>
      <w:r>
        <w:t xml:space="preserve">Why: A searchable talent pool monetises well and spreads fast, but concentrating structured profiles of a local workforce — including people in critical roles and industries — creates an asset of very high sensitivity.</w:t>
      </w:r>
    </w:p>
    <w:p>
      <w:pPr>
        <w:pStyle w:val="Normal"/>
      </w:pPr>
      <w:r>
        <w:t xml:space="preserve">Who can act: design</w:t>
      </w:r>
    </w:p>
    <w:p>
      <w:pPr>
        <w:pStyle w:val="Heading2"/>
      </w:pPr>
      <w:r>
        <w:t xml:space="preserve">Step 5 · Act II · Solution, Data and Training (Canvas 3–4)</w:t>
      </w:r>
    </w:p>
    <w:p>
      <w:pPr>
        <w:pStyle w:val="Story"/>
      </w:pPr>
      <w:r>
        <w:t xml:space="preserve">To read job specs the model needs a full skill taxonomy and job mapping. Building it takes months; an overseas vendor sells a ready-made API.</w:t>
      </w:r>
    </w:p>
    <w:p>
      <w:pPr>
        <w:pStyle w:val="Choice"/>
      </w:pPr>
      <w:r>
        <w:t xml:space="preserve">Your choice: Build a local taxonomy on published industry classification standards</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Problem–solution fit</w:t>
            </w:r>
          </w:p>
        </w:tc>
        <w:tc>
          <w:tcPr>
            <w:tcW w:w="0" w:type="auto"/>
          </w:tcPr>
          <w:p>
            <w:pPr>
              <w:pStyle w:val="TableText"/>
            </w:pPr>
            <w:r>
              <w:t xml:space="preserve">+1</w:t>
            </w:r>
          </w:p>
        </w:tc>
        <w:tc>
          <w:tcPr>
            <w:tcW w:w="0" w:type="auto"/>
          </w:tcPr>
          <w:p>
            <w:pPr>
              <w:pStyle w:val="TableText"/>
            </w:pPr>
            <w:r>
              <w:t xml:space="preserve">better</w:t>
            </w:r>
          </w:p>
        </w:tc>
      </w:tr>
    </w:tbl>
    <w:p>
      <w:pPr>
        <w:pStyle w:val="Normal"/>
      </w:pPr>
      <w:r>
        <w:t xml:space="preserve">Why: Building it in-house is slower but stays explainable: clear provenance, maintainable, and you can account for every weight when challenged. Localisation also improves matching quality.</w:t>
      </w:r>
    </w:p>
    <w:p>
      <w:pPr>
        <w:pStyle w:val="Normal"/>
      </w:pPr>
      <w:r>
        <w:t xml:space="preserve">Who can act: company policy</w:t>
      </w:r>
    </w:p>
    <w:p>
      <w:pPr>
        <w:pStyle w:val="Heading2"/>
      </w:pPr>
      <w:r>
        <w:t xml:space="preserve">Step 6 · Act II · Solution, Data and Training (Canvas 3–4)</w:t>
      </w:r>
    </w:p>
    <w:p>
      <w:pPr>
        <w:pStyle w:val="Story"/>
      </w:pPr>
      <w:r>
        <w:t xml:space="preserve">Validating the model needs historical hiring outcomes, and the pilot firm released only a slice. The team worries the model will look dumb.</w:t>
      </w:r>
    </w:p>
    <w:p>
      <w:pPr>
        <w:pStyle w:val="Choice"/>
      </w:pPr>
      <w:r>
        <w:t xml:space="preserve">Your choice: Use only data the pilot covered in writing and accept a small sample</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Problem–solution fit</w:t>
            </w:r>
          </w:p>
        </w:tc>
        <w:tc>
          <w:tcPr>
            <w:tcW w:w="0" w:type="auto"/>
          </w:tcPr>
          <w:p>
            <w:pPr>
              <w:pStyle w:val="TableText"/>
            </w:pPr>
            <w:r>
              <w:t xml:space="preserve">+1</w:t>
            </w:r>
          </w:p>
        </w:tc>
        <w:tc>
          <w:tcPr>
            <w:tcW w:w="0" w:type="auto"/>
          </w:tcPr>
          <w:p>
            <w:pPr>
              <w:pStyle w:val="TableText"/>
            </w:pPr>
            <w:r>
              <w:t xml:space="preserve">better</w:t>
            </w:r>
          </w:p>
        </w:tc>
      </w:tr>
    </w:tbl>
    <w:p>
      <w:pPr>
        <w:pStyle w:val="Normal"/>
      </w:pPr>
      <w:r>
        <w:t xml:space="preserve">Why: A small sample makes the metrics look worse for now, but a complete authorisation chain survives due diligence, scrutiny and client counsel questions later. You trade pace for correctness.</w:t>
      </w:r>
    </w:p>
    <w:p>
      <w:pPr>
        <w:pStyle w:val="Normal"/>
      </w:pPr>
      <w:r>
        <w:t xml:space="preserve">Who can act: company policy</w:t>
      </w:r>
    </w:p>
    <w:p>
      <w:pPr>
        <w:pStyle w:val="Heading2"/>
      </w:pPr>
      <w:r>
        <w:t xml:space="preserve">Step 7 · Act II · Solution, Data and Training (Canvas 3–4)</w:t>
      </w:r>
    </w:p>
    <w:p>
      <w:pPr>
        <w:pStyle w:val="Story"/>
      </w:pPr>
      <w:r>
        <w:t xml:space="preserve">Trained only on authorised data, the model has a small, narrow sample and degrades outside the pilot firm's job families. But for every score you can say which fields it relied on.</w:t>
      </w:r>
    </w:p>
    <w:p>
      <w:pPr>
        <w:pStyle w:val="Choice"/>
      </w:pPr>
      <w:r>
        <w:t xml:space="preserve">Your choice: Claim algorithmic compliance; release the basis only after a complaint</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+2</w:t>
            </w:r>
          </w:p>
        </w:tc>
        <w:tc>
          <w:tcPr>
            <w:tcW w:w="0" w:type="auto"/>
          </w:tcPr>
          <w:p>
            <w:pPr>
              <w:pStyle w:val="TableText"/>
            </w:pPr>
            <w:r>
              <w:t xml:space="preserve">better</w:t>
            </w:r>
          </w:p>
        </w:tc>
      </w:tr>
      <w:tr>
        <w:tc>
          <w:tcPr>
            <w:tcW w:w="0" w:type="auto"/>
          </w:tcPr>
          <w:p>
            <w:pPr>
              <w:pStyle w:val="TableText"/>
            </w:pPr>
            <w:r>
              <w:t xml:space="preserve">Ethics and trust risk</w:t>
            </w:r>
          </w:p>
        </w:tc>
        <w:tc>
          <w:tcPr>
            <w:tcW w:w="0" w:type="auto"/>
          </w:tcPr>
          <w:p>
            <w:pPr>
              <w:pStyle w:val="TableText"/>
            </w:pPr>
            <w:r>
              <w:t xml:space="preserve">+1</w:t>
            </w:r>
          </w:p>
        </w:tc>
        <w:tc>
          <w:tcPr>
            <w:tcW w:w="0" w:type="auto"/>
          </w:tcPr>
          <w:p>
            <w:pPr>
              <w:pStyle w:val="TableText"/>
            </w:pPr>
            <w:r>
              <w:t xml:space="preserve">worse</w:t>
            </w:r>
          </w:p>
        </w:tc>
      </w:tr>
      <w:tr>
        <w:tc>
          <w:tcPr>
            <w:tcW w:w="0" w:type="auto"/>
          </w:tcPr>
          <w:p>
            <w:pPr>
              <w:pStyle w:val="TableText"/>
            </w:pPr>
            <w:r>
              <w:t xml:space="preserve">Social expectation risk</w:t>
            </w:r>
          </w:p>
        </w:tc>
        <w:tc>
          <w:tcPr>
            <w:tcW w:w="0" w:type="auto"/>
          </w:tcPr>
          <w:p>
            <w:pPr>
              <w:pStyle w:val="TableText"/>
            </w:pPr>
            <w:r>
              <w:t xml:space="preserve">+1</w:t>
            </w:r>
          </w:p>
        </w:tc>
        <w:tc>
          <w:tcPr>
            <w:tcW w:w="0" w:type="auto"/>
          </w:tcPr>
          <w:p>
            <w:pPr>
              <w:pStyle w:val="TableText"/>
            </w:pPr>
            <w:r>
              <w:t xml:space="preserve">worse</w:t>
            </w:r>
          </w:p>
        </w:tc>
      </w:tr>
    </w:tbl>
    <w:p>
      <w:pPr>
        <w:pStyle w:val="Normal"/>
      </w:pPr>
      <w:r>
        <w:t xml:space="preserve">Why: Business rises because you skip maintaining the scoring basis and sell more easily. Ethics and social expectation fall together: candidates were entitled to know what they were compared on, and you told nobody until a complaint arrived.</w:t>
      </w:r>
    </w:p>
    <w:p>
      <w:pPr>
        <w:pStyle w:val="Normal"/>
      </w:pPr>
      <w:r>
        <w:t xml:space="preserve">Who can act: company policy</w:t>
      </w:r>
    </w:p>
    <w:p>
      <w:pPr>
        <w:pStyle w:val="Heading2"/>
      </w:pPr>
      <w:r>
        <w:t xml:space="preserve">Step 8 · Act III · Channels, Revenue and Accountability (Canvas 5–8)</w:t>
      </w:r>
    </w:p>
    <w:p>
      <w:pPr>
        <w:pStyle w:val="Story"/>
      </w:pPr>
      <w:r>
        <w:t xml:space="preserve">You have a clean authorisation chain — how do you turn 'explainable scoring' into revenue? Sales wants a model where HR pays almost nothing — yet you would have to monetise the candidate data entrusted to you to make money, which is exactly what betrays your 'trustworthy' edge.</w:t>
      </w:r>
    </w:p>
    <w:p>
      <w:pPr>
        <w:pStyle w:val="Choice"/>
      </w:pPr>
      <w:r>
        <w:t xml:space="preserve">Your choice: Per-seat subscription with a written promise never to resell candidate data</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+2</w:t>
            </w:r>
          </w:p>
        </w:tc>
        <w:tc>
          <w:tcPr>
            <w:tcW w:w="0" w:type="auto"/>
          </w:tcPr>
          <w:p>
            <w:pPr>
              <w:pStyle w:val="TableText"/>
            </w:pPr>
            <w:r>
              <w:t xml:space="preserve">better</w:t>
            </w:r>
          </w:p>
        </w:tc>
      </w:tr>
      <w:tr>
        <w:tc>
          <w:tcPr>
            <w:tcW w:w="0" w:type="auto"/>
          </w:tcPr>
          <w:p>
            <w:pPr>
              <w:pStyle w:val="TableText"/>
            </w:pPr>
            <w:r>
              <w:t xml:space="preserve">Moat and unfair advantage</w:t>
            </w:r>
          </w:p>
        </w:tc>
        <w:tc>
          <w:tcPr>
            <w:tcW w:w="0" w:type="auto"/>
          </w:tcPr>
          <w:p>
            <w:pPr>
              <w:pStyle w:val="TableText"/>
            </w:pPr>
            <w:r>
              <w:t xml:space="preserve">+1</w:t>
            </w:r>
          </w:p>
        </w:tc>
        <w:tc>
          <w:tcPr>
            <w:tcW w:w="0" w:type="auto"/>
          </w:tcPr>
          <w:p>
            <w:pPr>
              <w:pStyle w:val="TableText"/>
            </w:pPr>
            <w:r>
              <w:t xml:space="preserve">better</w:t>
            </w:r>
          </w:p>
        </w:tc>
      </w:tr>
    </w:tbl>
    <w:p>
      <w:pPr>
        <w:pStyle w:val="Normal"/>
      </w:pPr>
      <w:r>
        <w:t xml:space="preserve">Why: Subscriptions collect money slowest, but 'we never resell' written into the contract becomes a two-sided promise to candidates and HR alike — and in this industry trust is the hardest advantage to copy (Canvas 9).</w:t>
      </w:r>
    </w:p>
    <w:p>
      <w:pPr>
        <w:pStyle w:val="Normal"/>
      </w:pPr>
      <w:r>
        <w:t xml:space="preserve">Who can act: company policy</w:t>
      </w:r>
    </w:p>
    <w:p>
      <w:pPr>
        <w:pStyle w:val="Heading2"/>
      </w:pPr>
      <w:r>
        <w:t xml:space="preserve">Step 9 · Act III · Channels, Revenue and Accountability (Canvas 5–8)</w:t>
      </w:r>
    </w:p>
    <w:p>
      <w:pPr>
        <w:pStyle w:val="Story"/>
      </w:pPr>
      <w:r>
        <w:t xml:space="preserve">How do you reach more employers? One recruitment agent says he can put you in front of three hundred firms. You hold an 'explainable' reputation asset — how do you amplify it?</w:t>
      </w:r>
    </w:p>
    <w:p>
      <w:pPr>
        <w:pStyle w:val="Choice"/>
      </w:pPr>
      <w:r>
        <w:t xml:space="preserve">Your choice: Grow through HR communities and referrals, taking only clients you can serve</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0</w:t>
            </w:r>
          </w:p>
        </w:tc>
        <w:tc>
          <w:tcPr>
            <w:tcW w:w="0" w:type="auto"/>
          </w:tcPr>
          <w:p>
            <w:pPr>
              <w:pStyle w:val="TableText"/>
            </w:pPr>
            <w:r>
              <w:t xml:space="preserve">unchanged</w:t>
            </w:r>
          </w:p>
        </w:tc>
      </w:tr>
      <w:tr>
        <w:tc>
          <w:tcPr>
            <w:tcW w:w="0" w:type="auto"/>
          </w:tcPr>
          <w:p>
            <w:pPr>
              <w:pStyle w:val="TableText"/>
            </w:pPr>
            <w:r>
              <w:t xml:space="preserve">Problem–solution fit</w:t>
            </w:r>
          </w:p>
        </w:tc>
        <w:tc>
          <w:tcPr>
            <w:tcW w:w="0" w:type="auto"/>
          </w:tcPr>
          <w:p>
            <w:pPr>
              <w:pStyle w:val="TableText"/>
            </w:pPr>
            <w:r>
              <w:t xml:space="preserve">+1</w:t>
            </w:r>
          </w:p>
        </w:tc>
        <w:tc>
          <w:tcPr>
            <w:tcW w:w="0" w:type="auto"/>
          </w:tcPr>
          <w:p>
            <w:pPr>
              <w:pStyle w:val="TableText"/>
            </w:pPr>
            <w:r>
              <w:t xml:space="preserve">better</w:t>
            </w:r>
          </w:p>
        </w:tc>
      </w:tr>
    </w:tbl>
    <w:p>
      <w:pPr>
        <w:pStyle w:val="Normal"/>
      </w:pPr>
      <w:r>
        <w:t xml:space="preserve">Why: It is slow, but every client forces you to explain your scoring, which raises fit; referrals are the cheapest channel per win and renew best (Canvas 5).</w:t>
      </w:r>
    </w:p>
    <w:p>
      <w:pPr>
        <w:pStyle w:val="Normal"/>
      </w:pPr>
      <w:r>
        <w:t xml:space="preserve">Who can act: company policy</w:t>
      </w:r>
    </w:p>
    <w:p>
      <w:pPr>
        <w:pStyle w:val="Heading2"/>
      </w:pPr>
      <w:r>
        <w:t xml:space="preserve">Step 10 · Act III · Channels, Revenue and Accountability (Canvas 5–8)</w:t>
      </w:r>
    </w:p>
    <w:p>
      <w:pPr>
        <w:pStyle w:val="Story"/>
      </w:pPr>
      <w:r>
        <w:t xml:space="preserve">A friend in law school warns: if an AI helps decide who gets an interview, candidates usually have the right to know and to request human review. Your line lives on 'explainable' — make it the default, or hide it for conversion?</w:t>
      </w:r>
    </w:p>
    <w:p>
      <w:pPr>
        <w:pStyle w:val="Choice"/>
      </w:pPr>
      <w:r>
        <w:t xml:space="preserve">Your choice: No candidate-facing disclosure; externally it is a 'system assessment'</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0</w:t>
            </w:r>
          </w:p>
        </w:tc>
        <w:tc>
          <w:tcPr>
            <w:tcW w:w="0" w:type="auto"/>
          </w:tcPr>
          <w:p>
            <w:pPr>
              <w:pStyle w:val="TableText"/>
            </w:pPr>
            <w:r>
              <w:t xml:space="preserve">unchanged</w:t>
            </w:r>
          </w:p>
        </w:tc>
      </w:tr>
      <w:tr>
        <w:tc>
          <w:tcPr>
            <w:tcW w:w="0" w:type="auto"/>
          </w:tcPr>
          <w:p>
            <w:pPr>
              <w:pStyle w:val="TableText"/>
            </w:pPr>
            <w:r>
              <w:t xml:space="preserve">Legal compliance risk</w:t>
            </w:r>
          </w:p>
        </w:tc>
        <w:tc>
          <w:tcPr>
            <w:tcW w:w="0" w:type="auto"/>
          </w:tcPr>
          <w:p>
            <w:pPr>
              <w:pStyle w:val="TableText"/>
            </w:pPr>
            <w:r>
              <w:t xml:space="preserve">+3</w:t>
            </w:r>
          </w:p>
        </w:tc>
        <w:tc>
          <w:tcPr>
            <w:tcW w:w="0" w:type="auto"/>
          </w:tcPr>
          <w:p>
            <w:pPr>
              <w:pStyle w:val="TableText"/>
            </w:pPr>
            <w:r>
              <w:t xml:space="preserve">worse</w:t>
            </w:r>
          </w:p>
        </w:tc>
      </w:tr>
      <w:tr>
        <w:tc>
          <w:tcPr>
            <w:tcW w:w="0" w:type="auto"/>
          </w:tcPr>
          <w:p>
            <w:pPr>
              <w:pStyle w:val="TableText"/>
            </w:pPr>
            <w:r>
              <w:t xml:space="preserve">Ethics and trust risk</w:t>
            </w:r>
          </w:p>
        </w:tc>
        <w:tc>
          <w:tcPr>
            <w:tcW w:w="0" w:type="auto"/>
          </w:tcPr>
          <w:p>
            <w:pPr>
              <w:pStyle w:val="TableText"/>
            </w:pPr>
            <w:r>
              <w:t xml:space="preserve">+2</w:t>
            </w:r>
          </w:p>
        </w:tc>
        <w:tc>
          <w:tcPr>
            <w:tcW w:w="0" w:type="auto"/>
          </w:tcPr>
          <w:p>
            <w:pPr>
              <w:pStyle w:val="TableText"/>
            </w:pPr>
            <w:r>
              <w:t xml:space="preserve">worse</w:t>
            </w:r>
          </w:p>
        </w:tc>
      </w:tr>
      <w:tr>
        <w:tc>
          <w:tcPr>
            <w:tcW w:w="0" w:type="auto"/>
          </w:tcPr>
          <w:p>
            <w:pPr>
              <w:pStyle w:val="TableText"/>
            </w:pPr>
            <w:r>
              <w:t xml:space="preserve">Social expectation risk</w:t>
            </w:r>
          </w:p>
        </w:tc>
        <w:tc>
          <w:tcPr>
            <w:tcW w:w="0" w:type="auto"/>
          </w:tcPr>
          <w:p>
            <w:pPr>
              <w:pStyle w:val="TableText"/>
            </w:pPr>
            <w:r>
              <w:t xml:space="preserve">+2</w:t>
            </w:r>
          </w:p>
        </w:tc>
        <w:tc>
          <w:tcPr>
            <w:tcW w:w="0" w:type="auto"/>
          </w:tcPr>
          <w:p>
            <w:pPr>
              <w:pStyle w:val="TableText"/>
            </w:pPr>
            <w:r>
              <w:t xml:space="preserve">worse</w:t>
            </w:r>
          </w:p>
        </w:tc>
      </w:tr>
    </w:tbl>
    <w:p>
      <w:pPr>
        <w:pStyle w:val="Normal"/>
      </w:pPr>
      <w:r>
        <w:t xml:space="preserve">Why: Not disclosing avoids a lot of explaining and keeps clients comfortable. But automated decisions touching employment increasingly require notice, explanation and human involvement; concealment is typically treated as procedural unfairness.</w:t>
      </w:r>
    </w:p>
    <w:p>
      <w:pPr>
        <w:pStyle w:val="Normal"/>
      </w:pPr>
      <w:r>
        <w:t xml:space="preserve">Who can act: law</w:t>
      </w:r>
    </w:p>
    <w:p>
      <w:pPr>
        <w:pStyle w:val="Heading2"/>
      </w:pPr>
      <w:r>
        <w:t xml:space="preserve">Step 11 · Act III · Channels, Revenue and Accountability (Canvas 5–8)</w:t>
      </w:r>
    </w:p>
    <w:p>
      <w:pPr>
        <w:pStyle w:val="Story"/>
      </w:pPr>
      <w:r>
        <w:t xml:space="preserve">Internal testing shows systematically lower scores for people with long career gaps, candidates over forty, and anyone without a famous employer on their CV. Someone argues the data simply looks like that.</w:t>
      </w:r>
    </w:p>
    <w:p>
      <w:pPr>
        <w:pStyle w:val="Choice"/>
      </w:pPr>
      <w:r>
        <w:t xml:space="preserve">Your choice: Ship now and declare the intended population as 'graduates of leading institutions'</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Ethics and trust risk</w:t>
            </w:r>
          </w:p>
        </w:tc>
        <w:tc>
          <w:tcPr>
            <w:tcW w:w="0" w:type="auto"/>
          </w:tcPr>
          <w:p>
            <w:pPr>
              <w:pStyle w:val="TableText"/>
            </w:pPr>
            <w:r>
              <w:t xml:space="preserve">+3</w:t>
            </w:r>
          </w:p>
        </w:tc>
        <w:tc>
          <w:tcPr>
            <w:tcW w:w="0" w:type="auto"/>
          </w:tcPr>
          <w:p>
            <w:pPr>
              <w:pStyle w:val="TableText"/>
            </w:pPr>
            <w:r>
              <w:t xml:space="preserve">worse</w:t>
            </w:r>
          </w:p>
        </w:tc>
      </w:tr>
      <w:tr>
        <w:tc>
          <w:tcPr>
            <w:tcW w:w="0" w:type="auto"/>
          </w:tcPr>
          <w:p>
            <w:pPr>
              <w:pStyle w:val="TableText"/>
            </w:pPr>
            <w:r>
              <w:t xml:space="preserve">Legal compliance risk</w:t>
            </w:r>
          </w:p>
        </w:tc>
        <w:tc>
          <w:tcPr>
            <w:tcW w:w="0" w:type="auto"/>
          </w:tcPr>
          <w:p>
            <w:pPr>
              <w:pStyle w:val="TableText"/>
            </w:pPr>
            <w:r>
              <w:t xml:space="preserve">+1</w:t>
            </w:r>
          </w:p>
        </w:tc>
        <w:tc>
          <w:tcPr>
            <w:tcW w:w="0" w:type="auto"/>
          </w:tcPr>
          <w:p>
            <w:pPr>
              <w:pStyle w:val="TableText"/>
            </w:pPr>
            <w:r>
              <w:t xml:space="preserve">worse</w:t>
            </w:r>
          </w:p>
        </w:tc>
      </w:tr>
      <w:tr>
        <w:tc>
          <w:tcPr>
            <w:tcW w:w="0" w:type="auto"/>
          </w:tcPr>
          <w:p>
            <w:pPr>
              <w:pStyle w:val="TableText"/>
            </w:pPr>
            <w:r>
              <w:t xml:space="preserve">Business model</w:t>
            </w:r>
          </w:p>
        </w:tc>
        <w:tc>
          <w:tcPr>
            <w:tcW w:w="0" w:type="auto"/>
          </w:tcPr>
          <w:p>
            <w:pPr>
              <w:pStyle w:val="TableText"/>
            </w:pPr>
            <w:r>
              <w:t xml:space="preserve">0</w:t>
            </w:r>
          </w:p>
        </w:tc>
        <w:tc>
          <w:tcPr>
            <w:tcW w:w="0" w:type="auto"/>
          </w:tcPr>
          <w:p>
            <w:pPr>
              <w:pStyle w:val="TableText"/>
            </w:pPr>
            <w:r>
              <w:t xml:space="preserve">unchanged</w:t>
            </w:r>
          </w:p>
        </w:tc>
      </w:tr>
      <w:tr>
        <w:tc>
          <w:tcPr>
            <w:tcW w:w="0" w:type="auto"/>
          </w:tcPr>
          <w:p>
            <w:pPr>
              <w:pStyle w:val="TableText"/>
            </w:pPr>
            <w:r>
              <w:t xml:space="preserve">Social expectation risk</w:t>
            </w:r>
          </w:p>
        </w:tc>
        <w:tc>
          <w:tcPr>
            <w:tcW w:w="0" w:type="auto"/>
          </w:tcPr>
          <w:p>
            <w:pPr>
              <w:pStyle w:val="TableText"/>
            </w:pPr>
            <w:r>
              <w:t xml:space="preserve">+2</w:t>
            </w:r>
          </w:p>
        </w:tc>
        <w:tc>
          <w:tcPr>
            <w:tcW w:w="0" w:type="auto"/>
          </w:tcPr>
          <w:p>
            <w:pPr>
              <w:pStyle w:val="TableText"/>
            </w:pPr>
            <w:r>
              <w:t xml:space="preserve">worse</w:t>
            </w:r>
          </w:p>
        </w:tc>
      </w:tr>
    </w:tbl>
    <w:p>
      <w:pPr>
        <w:pStyle w:val="Normal"/>
      </w:pPr>
      <w:r>
        <w:t xml:space="preserve">Why: Fine print will not contain the systemic effect, and once someone loses an opportunity the burden of proof stays with you. This turns known disparate impact into a shipped feature. Launch stays on schedule.</w:t>
      </w:r>
    </w:p>
    <w:p>
      <w:pPr>
        <w:pStyle w:val="Normal"/>
      </w:pPr>
      <w:r>
        <w:t xml:space="preserve">Who can act: law</w:t>
      </w:r>
    </w:p>
    <w:p>
      <w:pPr>
        <w:pStyle w:val="Heading2"/>
      </w:pPr>
      <w:r>
        <w:t xml:space="preserve">Step 12 · Act III · Channels, Revenue and Accountability (Canvas 5–8)</w:t>
      </w:r>
    </w:p>
    <w:p>
      <w:pPr>
        <w:pStyle w:val="Story"/>
      </w:pPr>
      <w:r>
        <w:t xml:space="preserve">A candidate over forty consults the labour authority: rejected seven times by the same system, never given a reason. Reporters start asking what the score actually rests on.</w:t>
      </w:r>
    </w:p>
    <w:p>
      <w:pPr>
        <w:pStyle w:val="Choice"/>
      </w:pPr>
      <w:r>
        <w:t xml:space="preserve">Your choice: Add score explanations and a human review channel; publish the known limitations</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Ethics and trust risk</w:t>
            </w:r>
          </w:p>
        </w:tc>
        <w:tc>
          <w:tcPr>
            <w:tcW w:w="0" w:type="auto"/>
          </w:tcPr>
          <w:p>
            <w:pPr>
              <w:pStyle w:val="TableText"/>
            </w:pPr>
            <w:r>
              <w:t xml:space="preserve">-1</w:t>
            </w:r>
          </w:p>
        </w:tc>
        <w:tc>
          <w:tcPr>
            <w:tcW w:w="0" w:type="auto"/>
          </w:tcPr>
          <w:p>
            <w:pPr>
              <w:pStyle w:val="TableText"/>
            </w:pPr>
            <w:r>
              <w:t xml:space="preserve">better</w:t>
            </w:r>
          </w:p>
        </w:tc>
      </w:tr>
      <w:tr>
        <w:tc>
          <w:tcPr>
            <w:tcW w:w="0" w:type="auto"/>
          </w:tcPr>
          <w:p>
            <w:pPr>
              <w:pStyle w:val="TableText"/>
            </w:pPr>
            <w:r>
              <w:t xml:space="preserve">Legal compliance risk</w:t>
            </w:r>
          </w:p>
        </w:tc>
        <w:tc>
          <w:tcPr>
            <w:tcW w:w="0" w:type="auto"/>
          </w:tcPr>
          <w:p>
            <w:pPr>
              <w:pStyle w:val="TableText"/>
            </w:pPr>
            <w:r>
              <w:t xml:space="preserve">-1</w:t>
            </w:r>
          </w:p>
        </w:tc>
        <w:tc>
          <w:tcPr>
            <w:tcW w:w="0" w:type="auto"/>
          </w:tcPr>
          <w:p>
            <w:pPr>
              <w:pStyle w:val="TableText"/>
            </w:pPr>
            <w:r>
              <w:t xml:space="preserve">better</w:t>
            </w:r>
          </w:p>
        </w:tc>
      </w:tr>
      <w:tr>
        <w:tc>
          <w:tcPr>
            <w:tcW w:w="0" w:type="auto"/>
          </w:tcPr>
          <w:p>
            <w:pPr>
              <w:pStyle w:val="TableText"/>
            </w:pPr>
            <w:r>
              <w:t xml:space="preserve">Business model</w:t>
            </w:r>
          </w:p>
        </w:tc>
        <w:tc>
          <w:tcPr>
            <w:tcW w:w="0" w:type="auto"/>
          </w:tcPr>
          <w:p>
            <w:pPr>
              <w:pStyle w:val="TableText"/>
            </w:pPr>
            <w:r>
              <w:t xml:space="preserve">-1</w:t>
            </w:r>
          </w:p>
        </w:tc>
        <w:tc>
          <w:tcPr>
            <w:tcW w:w="0" w:type="auto"/>
          </w:tcPr>
          <w:p>
            <w:pPr>
              <w:pStyle w:val="TableText"/>
            </w:pPr>
            <w:r>
              <w:t xml:space="preserve">worse</w:t>
            </w:r>
          </w:p>
        </w:tc>
      </w:tr>
      <w:tr>
        <w:tc>
          <w:tcPr>
            <w:tcW w:w="0" w:type="auto"/>
          </w:tcPr>
          <w:p>
            <w:pPr>
              <w:pStyle w:val="TableText"/>
            </w:pPr>
            <w:r>
              <w:t xml:space="preserve">Problem–solution fit</w:t>
            </w:r>
          </w:p>
        </w:tc>
        <w:tc>
          <w:tcPr>
            <w:tcW w:w="0" w:type="auto"/>
          </w:tcPr>
          <w:p>
            <w:pPr>
              <w:pStyle w:val="TableText"/>
            </w:pPr>
            <w:r>
              <w:t xml:space="preserve">+1</w:t>
            </w:r>
          </w:p>
        </w:tc>
        <w:tc>
          <w:tcPr>
            <w:tcW w:w="0" w:type="auto"/>
          </w:tcPr>
          <w:p>
            <w:pPr>
              <w:pStyle w:val="TableText"/>
            </w:pPr>
            <w:r>
              <w:t xml:space="preserve">better</w:t>
            </w:r>
          </w:p>
        </w:tc>
      </w:tr>
    </w:tbl>
    <w:p>
      <w:pPr>
        <w:pStyle w:val="Normal"/>
      </w:pPr>
      <w:r>
        <w:t xml:space="preserve">Why: Ethics and legal both fall, because the misjudgement stops, but business falls too, because clients see the revenue drop before they see the improvement. It does not return the seven rejections; fixing it only stops it happening again.</w:t>
      </w:r>
    </w:p>
    <w:p>
      <w:pPr>
        <w:pStyle w:val="Normal"/>
      </w:pPr>
      <w:r>
        <w:t xml:space="preserve">Who can act: company policy</w:t>
      </w:r>
    </w:p>
    <w:p>
      <w:pPr>
        <w:pStyle w:val="Heading2"/>
      </w:pPr>
      <w:r>
        <w:t xml:space="preserve">Step 13 · Act IV · Scale and Spillover (Canvas 7, 9)</w:t>
      </w:r>
    </w:p>
    <w:p>
      <w:pPr>
        <w:pStyle w:val="Story"/>
      </w:pPr>
      <w:r>
        <w:t xml:space="preserve">That candidate's complaint is still running, and three institutions arrive with money: an offshore HR SaaS giant, generous but asking for candidate-data access; a local industry fund, smaller and stricter, data local; and voices urging subscriptions alone. Three term sheets — and the unfair advantage in Canvas 9 is usually written into those terms.</w:t>
      </w:r>
    </w:p>
    <w:p>
      <w:pPr>
        <w:pStyle w:val="Choice"/>
      </w:pPr>
      <w:r>
        <w:t xml:space="preserve">Your choice: Take a local industry fund: slower expansion, data stays local</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+1</w:t>
            </w:r>
          </w:p>
        </w:tc>
        <w:tc>
          <w:tcPr>
            <w:tcW w:w="0" w:type="auto"/>
          </w:tcPr>
          <w:p>
            <w:pPr>
              <w:pStyle w:val="TableText"/>
            </w:pPr>
            <w:r>
              <w:t xml:space="preserve">better</w:t>
            </w:r>
          </w:p>
        </w:tc>
      </w:tr>
      <w:tr>
        <w:tc>
          <w:tcPr>
            <w:tcW w:w="0" w:type="auto"/>
          </w:tcPr>
          <w:p>
            <w:pPr>
              <w:pStyle w:val="TableText"/>
            </w:pPr>
            <w:r>
              <w:t xml:space="preserve">Moat and unfair advantage</w:t>
            </w:r>
          </w:p>
        </w:tc>
        <w:tc>
          <w:tcPr>
            <w:tcW w:w="0" w:type="auto"/>
          </w:tcPr>
          <w:p>
            <w:pPr>
              <w:pStyle w:val="TableText"/>
            </w:pPr>
            <w:r>
              <w:t xml:space="preserve">+2</w:t>
            </w:r>
          </w:p>
        </w:tc>
        <w:tc>
          <w:tcPr>
            <w:tcW w:w="0" w:type="auto"/>
          </w:tcPr>
          <w:p>
            <w:pPr>
              <w:pStyle w:val="TableText"/>
            </w:pPr>
            <w:r>
              <w:t xml:space="preserve">better</w:t>
            </w:r>
          </w:p>
        </w:tc>
      </w:tr>
    </w:tbl>
    <w:p>
      <w:pPr>
        <w:pStyle w:val="Normal"/>
      </w:pPr>
      <w:r>
        <w:t xml:space="preserve">Why: Local capital is smaller and its terms more conservative, but data sovereignty and the audit trail stay intact, which means you will not be stumped in reviews by government, universities or large employers.</w:t>
      </w:r>
    </w:p>
    <w:p>
      <w:pPr>
        <w:pStyle w:val="Normal"/>
      </w:pPr>
      <w:r>
        <w:t xml:space="preserve">Who can act: company policy</w:t>
      </w:r>
    </w:p>
    <w:p>
      <w:pPr>
        <w:pStyle w:val="Heading2"/>
      </w:pPr>
      <w:r>
        <w:t xml:space="preserve">Step 14 · Act IV · Scale and Spillover (Canvas 7, 9)</w:t>
      </w:r>
    </w:p>
    <w:p>
      <w:pPr>
        <w:pStyle w:val="Story"/>
      </w:pPr>
      <w:r>
        <w:t xml:space="preserve">A labour-rights group ran a matched-pair test: identical CVs differing only in gender and age scored two bands apart. They are preparing a regulatory complaint and demanding the algorithm be explained.</w:t>
      </w:r>
    </w:p>
    <w:p>
      <w:pPr>
        <w:pStyle w:val="Choice"/>
      </w:pPr>
      <w:r>
        <w:t xml:space="preserve">Your choice: Commission an independent algorithm audit, publish a summary, build explainability</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Moat and unfair advantage</w:t>
            </w:r>
          </w:p>
        </w:tc>
        <w:tc>
          <w:tcPr>
            <w:tcW w:w="0" w:type="auto"/>
          </w:tcPr>
          <w:p>
            <w:pPr>
              <w:pStyle w:val="TableText"/>
            </w:pPr>
            <w:r>
              <w:t xml:space="preserve">+2</w:t>
            </w:r>
          </w:p>
        </w:tc>
        <w:tc>
          <w:tcPr>
            <w:tcW w:w="0" w:type="auto"/>
          </w:tcPr>
          <w:p>
            <w:pPr>
              <w:pStyle w:val="TableText"/>
            </w:pPr>
            <w:r>
              <w:t xml:space="preserve">better</w:t>
            </w:r>
          </w:p>
        </w:tc>
      </w:tr>
      <w:tr>
        <w:tc>
          <w:tcPr>
            <w:tcW w:w="0" w:type="auto"/>
          </w:tcPr>
          <w:p>
            <w:pPr>
              <w:pStyle w:val="TableText"/>
            </w:pPr>
            <w:r>
              <w:t xml:space="preserve">Business model</w:t>
            </w:r>
          </w:p>
        </w:tc>
        <w:tc>
          <w:tcPr>
            <w:tcW w:w="0" w:type="auto"/>
          </w:tcPr>
          <w:p>
            <w:pPr>
              <w:pStyle w:val="TableText"/>
            </w:pPr>
            <w:r>
              <w:t xml:space="preserve">-1</w:t>
            </w:r>
          </w:p>
        </w:tc>
        <w:tc>
          <w:tcPr>
            <w:tcW w:w="0" w:type="auto"/>
          </w:tcPr>
          <w:p>
            <w:pPr>
              <w:pStyle w:val="TableText"/>
            </w:pPr>
            <w:r>
              <w:t xml:space="preserve">worse</w:t>
            </w:r>
          </w:p>
        </w:tc>
      </w:tr>
    </w:tbl>
    <w:p>
      <w:pPr>
        <w:pStyle w:val="Normal"/>
      </w:pPr>
      <w:r>
        <w:t xml:space="preserve">Why: Auditing costs money and publishing invites criticism (business score drops), but a citable independent conclusion makes you the one vendor that large employers, public procurement and career offices can safely pick.</w:t>
      </w:r>
    </w:p>
    <w:p>
      <w:pPr>
        <w:pStyle w:val="Normal"/>
      </w:pPr>
      <w:r>
        <w:t xml:space="preserve">Who can act: design</w:t>
      </w:r>
    </w:p>
    <w:p>
      <w:pPr>
        <w:pStyle w:val="Flavour"/>
      </w:pPr>
      <w:r>
        <w:t xml:space="preserve">No randomness in this run: the ending is fully determined by the 14 choices in Section 3.</w:t>
      </w:r>
    </w:p>
    <w:p>
      <w:pPr>
        <w:pStyle w:val="Heading1"/>
      </w:pPr>
      <w:r>
        <w:t xml:space="preserve">4. Ending debrief</w:t>
      </w:r>
    </w:p>
    <w:p>
      <w:pPr>
        <w:pStyle w:val="Heading2"/>
      </w:pPr>
      <w:r>
        <w:t xml:space="preserve">Ending: Users Finally Find Out They Were Sold</w:t>
      </w:r>
    </w:p>
    <w:p>
      <w:pPr>
        <w:pStyle w:val="Normal"/>
      </w:pPr>
      <w:r>
        <w:t xml:space="preserve">Type: Fail</w:t>
      </w:r>
    </w:p>
    <w:p>
      <w:pPr>
        <w:pStyle w:val="Story"/>
      </w:pPr>
      <w:r>
        <w:t xml:space="preserve">Commercial success hid one thing: users' trust was never matched by respect. When one user reverse-engineered your practices and published the whole thing, sentiment flipped overnight. Uninstalls, refunds, one-star reviews, press follow-ups — you did build a company, its foundation was just obtained by deception.</w:t>
      </w:r>
    </w:p>
    <w:p>
      <w:pPr>
        <w:pStyle w:val="Flavour"/>
      </w:pPr>
      <w:r>
        <w:t xml:space="preserve">The matched-pair test with only gender and age changed went viral.</w:t>
      </w:r>
    </w:p>
    <w:p>
      <w:pPr>
        <w:pStyle w:val="Heading2"/>
      </w:pPr>
      <w:r>
        <w:t xml:space="preserve">Why this ending fired</w:t>
      </w:r>
    </w:p>
    <w:p>
      <w:pPr>
        <w:pStyle w:val="Normal"/>
      </w:pPr>
      <w:r>
        <w:t xml:space="preserve">Why it fired: ethics risk at 5+ with a business score of 6+ — the more users you harmed, the harder the backlash when it surfaced.</w:t>
      </w:r>
    </w:p>
    <w:p>
      <w:pPr>
        <w:pStyle w:val="Heading2"/>
      </w:pPr>
      <w:r>
        <w:t xml:space="preserve">The trade-off you made</w:t>
      </w:r>
    </w:p>
    <w:p>
      <w:pPr>
        <w:pStyle w:val="Normal"/>
      </w:pPr>
      <w:r>
        <w:t xml:space="preserve">The trade-off: trading absent informed consent for conversion. Every 'users won't read it anyway' decision improved the funnel on paper and added to a trust deficit that becomes unrecoverable once exposed.</w:t>
      </w:r>
    </w:p>
    <w:p>
      <w:pPr>
        <w:pStyle w:val="Heading2"/>
      </w:pPr>
      <w:r>
        <w:t xml:space="preserve">Through the Lean Canvas</w:t>
      </w:r>
    </w:p>
    <w:p>
      <w:pPr>
        <w:pStyle w:val="Normal"/>
      </w:pPr>
      <w:r>
        <w:t xml:space="preserve">Lean Canvas review: Canvas 8 (key metrics) tracked retention and conversion but no counter-metric like 'informed-user rate'; Canvas 9 (unfair advantage) mistook information asymmetry for an advantage — the most fragile kind there is.</w:t>
      </w:r>
    </w:p>
    <w:p>
      <w:pPr>
        <w:pStyle w:val="Heading2"/>
      </w:pPr>
      <w:r>
        <w:t xml:space="preserve">Legal and regulatory hooks</w:t>
      </w:r>
    </w:p>
    <w:p>
      <w:pPr>
        <w:pStyle w:val="Normal"/>
      </w:pPr>
      <w:r>
        <w:t xml:space="preserve">Classroom pointers: validity of notice and consent, separate consent for sensitive personal information, the right to explanation and to opt out of automated decisions, consumer protection and fair-trading rules.</w:t>
      </w:r>
    </w:p>
    <w:p>
      <w:pPr>
        <w:pStyle w:val="Heading2"/>
      </w:pPr>
      <w:r>
        <w:t xml:space="preserve">Who was affected</w:t>
      </w:r>
    </w:p>
    <w:tbl>
      <w:tblPr>
        <w:tblStyle w:val="TableGrid"/>
        <w:tblW w:w="9638" w:type="dxa"/>
      </w:tblPr>
      <w:tr>
        <w:tc>
          <w:tcPr>
            <w:tcW w:w="0" w:type="auto"/>
          </w:tcPr>
          <w:p>
            <w:pPr>
              <w:pStyle w:val="TableText"/>
            </w:pPr>
            <w:r>
              <w:t xml:space="preserve">Who</w:t>
            </w:r>
          </w:p>
        </w:tc>
        <w:tc>
          <w:tcPr>
            <w:tcW w:w="0" w:type="auto"/>
          </w:tcPr>
          <w:p>
            <w:pPr>
              <w:pStyle w:val="TableText"/>
            </w:pPr>
            <w:r>
              <w:t xml:space="preserve">Impact</w:t>
            </w:r>
          </w:p>
        </w:tc>
      </w:tr>
      <w:tr>
        <w:tc>
          <w:tcPr>
            <w:tcW w:w="0" w:type="auto"/>
          </w:tcPr>
          <w:p>
            <w:pPr>
              <w:pStyle w:val="TableText"/>
            </w:pPr>
            <w:r>
              <w:t xml:space="preserve">The most vulnerable affected users</w:t>
            </w:r>
          </w:p>
        </w:tc>
        <w:tc>
          <w:tcPr>
            <w:tcW w:w="0" w:type="auto"/>
          </w:tcPr>
          <w:p>
            <w:pPr>
              <w:pStyle w:val="TableText"/>
            </w:pPr>
            <w:r>
              <w:t xml:space="preserve">Bore the most material harm — misjudgement, discrimination, exploitation — while receiving the least benefit.</w:t>
            </w:r>
          </w:p>
        </w:tc>
      </w:tr>
      <w:tr>
        <w:tc>
          <w:tcPr>
            <w:tcW w:w="0" w:type="auto"/>
          </w:tcPr>
          <w:p>
            <w:pPr>
              <w:pStyle w:val="TableText"/>
            </w:pPr>
            <w:r>
              <w:t xml:space="preserve">The general user base</w:t>
            </w:r>
          </w:p>
        </w:tc>
        <w:tc>
          <w:tcPr>
            <w:tcW w:w="0" w:type="auto"/>
          </w:tcPr>
          <w:p>
            <w:pPr>
              <w:pStyle w:val="TableText"/>
            </w:pPr>
            <w:r>
              <w:t xml:space="preserve">Discovered they were part of the product without knowing; the sense of betrayal outweighs any functional loss.</w:t>
            </w:r>
          </w:p>
        </w:tc>
      </w:tr>
      <w:tr>
        <w:tc>
          <w:tcPr>
            <w:tcW w:w="0" w:type="auto"/>
          </w:tcPr>
          <w:p>
            <w:pPr>
              <w:pStyle w:val="TableText"/>
            </w:pPr>
            <w:r>
              <w:t xml:space="preserve">Advertising and commercial partners</w:t>
            </w:r>
          </w:p>
        </w:tc>
        <w:tc>
          <w:tcPr>
            <w:tcW w:w="0" w:type="auto"/>
          </w:tcPr>
          <w:p>
            <w:pPr>
              <w:pStyle w:val="TableText"/>
            </w:pPr>
            <w:r>
              <w:t xml:space="preserve">Brand-safety damage spilled over and partnerships were halted at short notice.</w:t>
            </w:r>
          </w:p>
        </w:tc>
      </w:tr>
    </w:tbl>
    <w:p>
      <w:pPr>
        <w:pStyle w:val="Heading2"/>
      </w:pPr>
      <w:r>
        <w:t xml:space="preserve">What you could have done</w:t>
      </w:r>
    </w:p>
    <w:p>
      <w:pPr>
        <w:pStyle w:val="Normal"/>
      </w:pPr>
      <w:r>
        <w:t xml:space="preserve">1. Make consequential decisions explainable, refusable and reversible: give reasons, provide an off switch, allow deletion.</w:t>
      </w:r>
    </w:p>
    <w:p>
      <w:pPr>
        <w:pStyle w:val="Normal"/>
      </w:pPr>
      <w:r>
        <w:t xml:space="preserve">2. Run impact tests disaggregated by vulnerable groups rather than trusting headline averages.</w:t>
      </w:r>
    </w:p>
    <w:p>
      <w:pPr>
        <w:pStyle w:val="Normal"/>
      </w:pPr>
      <w:r>
        <w:t xml:space="preserve">3. Write 'we will never do X with your data' into your commercial terms — and submit to an audit.</w:t>
      </w:r>
    </w:p>
    <w:p>
      <w:pPr>
        <w:pStyle w:val="Heading2"/>
      </w:pPr>
      <w:r>
        <w:t xml:space="preserve">Reflection</w:t>
      </w:r>
    </w:p>
    <w:p>
      <w:pPr>
        <w:pStyle w:val="Normal"/>
      </w:pPr>
      <w:r>
        <w:t xml:space="preserve">Translate 'users did not consent' into one concrete commercial consequence, and explain why it was bound to happen eventually.</w:t>
      </w:r>
    </w:p>
    <w:sectPr>
      <w:pgSz w:w="11906" w:h="16838"/>
      <w:pgMar w:top="1134" w:right="1134" w:bottom="1134" w:left="1134"/>
    </w:sectPr>
  </w:body>
</w:document>
</file>

<file path=word/styles.xml><?xml version="1.0" encoding="utf-8"?>
<w:styles xmlns:w="http://schemas.openxmlformats.org/wordprocessingml/2006/main">
  <w:docDefaults>
    <w:rPrDefault>
      <w:rPr>
        <w:rFonts w:ascii="Calibri" w:hAnsi="Calibri" w:eastAsia="PingFang SC"/>
        <w:sz w:val="21"/>
      </w:rPr>
    </w:rPrDefault>
  </w:docDefaults>
  <w:style w:type="paragraph" w:styleId="Title">
    <w:name w:val="Title"/>
    <w:pPr>
      <w:spacing w:before="120" w:after="60"/>
    </w:pPr>
    <w:rPr>
      <w:b/>
      <w:sz w:val="40"/>
    </w:rPr>
  </w:style>
  <w:style w:type="paragraph" w:styleId="Heading1">
    <w:name w:val="heading 1"/>
    <w:pPr>
      <w:spacing w:before="120" w:after="60"/>
    </w:pPr>
    <w:rPr>
      <w:b/>
      <w:sz w:val="30"/>
    </w:rPr>
  </w:style>
  <w:style w:type="paragraph" w:styleId="Heading2">
    <w:name w:val="heading 2"/>
    <w:pPr>
      <w:spacing w:before="120" w:after="60"/>
    </w:pPr>
    <w:rPr>
      <w:b/>
      <w:sz w:val="25"/>
    </w:rPr>
  </w:style>
  <w:style w:type="paragraph" w:styleId="Normal">
    <w:name w:val="Normal"/>
    <w:pPr>
      <w:spacing w:before="120" w:after="60"/>
    </w:pPr>
    <w:rPr>
      <w:sz w:val="21"/>
    </w:rPr>
  </w:style>
  <w:style w:type="paragraph" w:styleId="Story">
    <w:name w:val="Story"/>
    <w:pPr>
      <w:spacing w:before="120" w:after="60"/>
    </w:pPr>
    <w:rPr>
      <w:i/>
      <w:sz w:val="21"/>
    </w:rPr>
  </w:style>
  <w:style w:type="paragraph" w:styleId="Flavour">
    <w:name w:val="Flavour"/>
    <w:pPr>
      <w:spacing w:before="120" w:after="60"/>
    </w:pPr>
    <w:rPr>
      <w:i/>
      <w:sz w:val="20"/>
    </w:rPr>
  </w:style>
  <w:style w:type="paragraph" w:styleId="Choice">
    <w:name w:val="Choice"/>
    <w:pPr>
      <w:spacing w:before="120" w:after="60"/>
    </w:pPr>
    <w:rPr>
      <w:b/>
      <w:sz w:val="22"/>
    </w:rPr>
  </w:style>
  <w:style w:type="paragraph" w:styleId="TableText">
    <w:name w:val="Table Text"/>
    <w:pPr>
      <w:spacing w:before="120" w:after="60"/>
    </w:pPr>
    <w:rPr>
      <w:sz w:val="19"/>
    </w:rPr>
  </w:style>
  <w:style w:type="table" w:styleId="TableGrid">
    <w:name w:val="Table Grid"/>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