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2D02" w14:textId="77777777" w:rsidR="001E1F17" w:rsidRDefault="007539CB">
      <w:pPr>
        <w:pStyle w:val="Title"/>
      </w:pPr>
      <w:r>
        <w:t>Meridian Fielding Group</w:t>
      </w:r>
    </w:p>
    <w:p w14:paraId="2E7466D7" w14:textId="77777777" w:rsidR="001E1F17" w:rsidRDefault="007539CB">
      <w:pPr>
        <w:pStyle w:val="Heading2"/>
      </w:pPr>
      <w:r>
        <w:t>Corporate Expense &amp; Reimbursement Policy</w:t>
      </w:r>
    </w:p>
    <w:p w14:paraId="429A1A07" w14:textId="77777777" w:rsidR="001E1F17" w:rsidRDefault="007539CB">
      <w:pPr>
        <w:spacing w:after="160"/>
      </w:pPr>
      <w:r>
        <w:rPr>
          <w:i/>
          <w:iCs/>
        </w:rPr>
        <w:t xml:space="preserve">Effective Date: January 1, </w:t>
      </w:r>
      <w:proofErr w:type="gramStart"/>
      <w:r>
        <w:rPr>
          <w:i/>
          <w:iCs/>
        </w:rPr>
        <w:t>2026</w:t>
      </w:r>
      <w:proofErr w:type="gramEnd"/>
      <w:r>
        <w:rPr>
          <w:i/>
          <w:iCs/>
        </w:rPr>
        <w:t xml:space="preserve">   |   Policy Owner: Finance Department   |   Version: 3.2</w:t>
      </w:r>
    </w:p>
    <w:p w14:paraId="2CE559CF" w14:textId="77777777" w:rsidR="001E1F17" w:rsidRDefault="007539CB">
      <w:pPr>
        <w:spacing w:after="160"/>
      </w:pPr>
      <w:r>
        <w:t>This document is a synthetic policy manual created for internal tooling development and testing. Meridian Fielding Group is a fictional company; all figures, thresholds, and names in this manual are illustrative only and not derived from any real client engagement.</w:t>
      </w:r>
    </w:p>
    <w:p w14:paraId="75B316D0" w14:textId="77777777" w:rsidR="001E1F17" w:rsidRDefault="007539CB">
      <w:pPr>
        <w:pStyle w:val="Heading1"/>
      </w:pPr>
      <w:r>
        <w:t>1. Purpose</w:t>
      </w:r>
    </w:p>
    <w:p w14:paraId="727F27BD" w14:textId="77777777" w:rsidR="001E1F17" w:rsidRDefault="007539CB">
      <w:pPr>
        <w:spacing w:after="160"/>
      </w:pPr>
      <w:r>
        <w:t xml:space="preserve">This policy governs the submission, approval, and reimbursement of business expenses incurred by employees of Meridian Fielding Group ("the Company") </w:t>
      </w:r>
      <w:proofErr w:type="gramStart"/>
      <w:r>
        <w:t>in the course of</w:t>
      </w:r>
      <w:proofErr w:type="gramEnd"/>
      <w:r>
        <w:t xml:space="preserve"> authorized business activity. It exists to ensure expenses are reasonable, properly documented, and consistent with the Company's fiduciary obligations.</w:t>
      </w:r>
    </w:p>
    <w:p w14:paraId="1324795F" w14:textId="77777777" w:rsidR="001E1F17" w:rsidRDefault="007539CB">
      <w:pPr>
        <w:pStyle w:val="Heading1"/>
      </w:pPr>
      <w:r>
        <w:t>2. Scope</w:t>
      </w:r>
    </w:p>
    <w:p w14:paraId="7950E0CA" w14:textId="77777777" w:rsidR="001E1F17" w:rsidRDefault="007539CB">
      <w:pPr>
        <w:spacing w:after="160"/>
      </w:pPr>
      <w:r>
        <w:t>This policy applies to all full-time and part-time employees, contractors submitting expenses through the Company's expense system, and any manager approving expense reports on behalf of their team.</w:t>
      </w:r>
    </w:p>
    <w:p w14:paraId="2ECC96D3" w14:textId="77777777" w:rsidR="001E1F17" w:rsidRDefault="007539CB">
      <w:pPr>
        <w:pStyle w:val="Heading1"/>
      </w:pPr>
      <w:r>
        <w:t>3. General Principles</w:t>
      </w:r>
    </w:p>
    <w:p w14:paraId="79C2F6CA" w14:textId="77777777" w:rsidR="001E1F17" w:rsidRDefault="007539CB">
      <w:pPr>
        <w:pStyle w:val="ListParagraph"/>
        <w:numPr>
          <w:ilvl w:val="0"/>
          <w:numId w:val="1"/>
        </w:numPr>
        <w:spacing w:after="80"/>
      </w:pPr>
      <w:r>
        <w:t>Expenses must be reasonable, business-related, and incurred in the performance of Company duties.</w:t>
      </w:r>
    </w:p>
    <w:p w14:paraId="478290EE" w14:textId="77777777" w:rsidR="001E1F17" w:rsidRDefault="007539CB">
      <w:pPr>
        <w:pStyle w:val="ListParagraph"/>
        <w:numPr>
          <w:ilvl w:val="0"/>
          <w:numId w:val="1"/>
        </w:numPr>
        <w:spacing w:after="80"/>
      </w:pPr>
      <w:r>
        <w:t>Employees are expected to exercise the same care in incurring expenses as they would spending their own funds.</w:t>
      </w:r>
    </w:p>
    <w:p w14:paraId="76FEC383" w14:textId="77777777" w:rsidR="001E1F17" w:rsidRDefault="007539CB">
      <w:pPr>
        <w:pStyle w:val="ListParagraph"/>
        <w:numPr>
          <w:ilvl w:val="0"/>
          <w:numId w:val="1"/>
        </w:numPr>
        <w:spacing w:after="80"/>
      </w:pPr>
      <w:r>
        <w:t>All expense reports must be submitted within 30 calendar days of the expense date.</w:t>
      </w:r>
    </w:p>
    <w:p w14:paraId="269F7C9E" w14:textId="77777777" w:rsidR="001E1F17" w:rsidRDefault="007539CB">
      <w:pPr>
        <w:pStyle w:val="ListParagraph"/>
        <w:numPr>
          <w:ilvl w:val="0"/>
          <w:numId w:val="1"/>
        </w:numPr>
        <w:spacing w:after="80"/>
      </w:pPr>
      <w:r>
        <w:t>Personal expenses, regardless of amount, are never reimbursable under this policy.</w:t>
      </w:r>
    </w:p>
    <w:p w14:paraId="4F7C6EF9" w14:textId="77777777" w:rsidR="001E1F17" w:rsidRDefault="007539CB">
      <w:pPr>
        <w:pStyle w:val="Heading1"/>
      </w:pPr>
      <w:r>
        <w:t>4. Category Limits and Documentation Requirements</w:t>
      </w:r>
    </w:p>
    <w:p w14:paraId="73BA1B6C" w14:textId="77777777" w:rsidR="001E1F17" w:rsidRDefault="007539CB">
      <w:pPr>
        <w:spacing w:after="160"/>
      </w:pPr>
      <w:r>
        <w:t>The table below sets daily or per-instance limits by category. Amounts exceeding the stated limit will be flagged for review and are not automatically reimbursed. Receipts are required for any single expense at or above the stated threshold; expenses below the threshold may still be spot-audited.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2200"/>
        <w:gridCol w:w="2600"/>
      </w:tblGrid>
      <w:tr w:rsidR="001E1F17" w14:paraId="5115FCFF" w14:textId="77777777">
        <w:tblPrEx>
          <w:tblCellMar>
            <w:top w:w="0" w:type="dxa"/>
            <w:bottom w:w="0" w:type="dxa"/>
          </w:tblCellMar>
        </w:tblPrEx>
        <w:tc>
          <w:tcPr>
            <w:tcW w:w="1800" w:type="dxa"/>
            <w:shd w:val="clear" w:color="auto" w:fill="D9D9D9"/>
          </w:tcPr>
          <w:p w14:paraId="45BAFDB0" w14:textId="77777777" w:rsidR="001E1F17" w:rsidRDefault="007539CB">
            <w:r>
              <w:rPr>
                <w:b/>
                <w:bCs/>
              </w:rPr>
              <w:t>Category</w:t>
            </w:r>
          </w:p>
        </w:tc>
        <w:tc>
          <w:tcPr>
            <w:tcW w:w="1600" w:type="dxa"/>
            <w:shd w:val="clear" w:color="auto" w:fill="D9D9D9"/>
          </w:tcPr>
          <w:p w14:paraId="31A321BB" w14:textId="77777777" w:rsidR="001E1F17" w:rsidRDefault="007539CB">
            <w:r>
              <w:rPr>
                <w:b/>
                <w:bCs/>
              </w:rPr>
              <w:t>Daily Limit (USD)</w:t>
            </w:r>
          </w:p>
        </w:tc>
        <w:tc>
          <w:tcPr>
            <w:tcW w:w="1800" w:type="dxa"/>
            <w:shd w:val="clear" w:color="auto" w:fill="D9D9D9"/>
          </w:tcPr>
          <w:p w14:paraId="5A51BFC6" w14:textId="77777777" w:rsidR="001E1F17" w:rsidRDefault="007539CB">
            <w:r>
              <w:rPr>
                <w:b/>
                <w:bCs/>
              </w:rPr>
              <w:t>Receipt Required Above</w:t>
            </w:r>
          </w:p>
        </w:tc>
        <w:tc>
          <w:tcPr>
            <w:tcW w:w="2200" w:type="dxa"/>
            <w:shd w:val="clear" w:color="auto" w:fill="D9D9D9"/>
          </w:tcPr>
          <w:p w14:paraId="0D36FBA7" w14:textId="77777777" w:rsidR="001E1F17" w:rsidRDefault="007539CB">
            <w:r>
              <w:rPr>
                <w:b/>
                <w:bCs/>
              </w:rPr>
              <w:t>Manager Approval Required Above</w:t>
            </w:r>
          </w:p>
        </w:tc>
        <w:tc>
          <w:tcPr>
            <w:tcW w:w="2600" w:type="dxa"/>
            <w:shd w:val="clear" w:color="auto" w:fill="D9D9D9"/>
          </w:tcPr>
          <w:p w14:paraId="1160FEA7" w14:textId="77777777" w:rsidR="001E1F17" w:rsidRDefault="007539CB">
            <w:r>
              <w:rPr>
                <w:b/>
                <w:bCs/>
              </w:rPr>
              <w:t>Notes</w:t>
            </w:r>
          </w:p>
        </w:tc>
      </w:tr>
      <w:tr w:rsidR="001E1F17" w14:paraId="31784906" w14:textId="77777777">
        <w:tblPrEx>
          <w:tblCellMar>
            <w:top w:w="0" w:type="dxa"/>
            <w:bottom w:w="0" w:type="dxa"/>
          </w:tblCellMar>
        </w:tblPrEx>
        <w:tc>
          <w:tcPr>
            <w:tcW w:w="1800" w:type="dxa"/>
          </w:tcPr>
          <w:p w14:paraId="5397A28B" w14:textId="77777777" w:rsidR="001E1F17" w:rsidRDefault="007539CB">
            <w:r>
              <w:t>Meals</w:t>
            </w:r>
          </w:p>
        </w:tc>
        <w:tc>
          <w:tcPr>
            <w:tcW w:w="1600" w:type="dxa"/>
          </w:tcPr>
          <w:p w14:paraId="7B439B83" w14:textId="77777777" w:rsidR="001E1F17" w:rsidRDefault="007539CB">
            <w:r>
              <w:t>$75 / day</w:t>
            </w:r>
          </w:p>
        </w:tc>
        <w:tc>
          <w:tcPr>
            <w:tcW w:w="1800" w:type="dxa"/>
          </w:tcPr>
          <w:p w14:paraId="6BB1FBCE" w14:textId="77777777" w:rsidR="001E1F17" w:rsidRDefault="007539CB">
            <w:r>
              <w:t>$25</w:t>
            </w:r>
          </w:p>
        </w:tc>
        <w:tc>
          <w:tcPr>
            <w:tcW w:w="2200" w:type="dxa"/>
          </w:tcPr>
          <w:p w14:paraId="2615FA8F" w14:textId="77777777" w:rsidR="001E1F17" w:rsidRDefault="007539CB">
            <w:r>
              <w:t>—</w:t>
            </w:r>
          </w:p>
        </w:tc>
        <w:tc>
          <w:tcPr>
            <w:tcW w:w="2600" w:type="dxa"/>
          </w:tcPr>
          <w:p w14:paraId="343A0901" w14:textId="77777777" w:rsidR="001E1F17" w:rsidRDefault="007539CB">
            <w:r>
              <w:t>Per-person; alcohol not reimbursable</w:t>
            </w:r>
          </w:p>
        </w:tc>
      </w:tr>
      <w:tr w:rsidR="001E1F17" w14:paraId="21F25234" w14:textId="77777777">
        <w:tblPrEx>
          <w:tblCellMar>
            <w:top w:w="0" w:type="dxa"/>
            <w:bottom w:w="0" w:type="dxa"/>
          </w:tblCellMar>
        </w:tblPrEx>
        <w:tc>
          <w:tcPr>
            <w:tcW w:w="1800" w:type="dxa"/>
          </w:tcPr>
          <w:p w14:paraId="6E9646F7" w14:textId="77777777" w:rsidR="001E1F17" w:rsidRDefault="007539CB">
            <w:r>
              <w:t>Travel</w:t>
            </w:r>
          </w:p>
        </w:tc>
        <w:tc>
          <w:tcPr>
            <w:tcW w:w="1600" w:type="dxa"/>
          </w:tcPr>
          <w:p w14:paraId="162D5F21" w14:textId="77777777" w:rsidR="001E1F17" w:rsidRDefault="007539CB">
            <w:r>
              <w:t>$400 / day</w:t>
            </w:r>
          </w:p>
        </w:tc>
        <w:tc>
          <w:tcPr>
            <w:tcW w:w="1800" w:type="dxa"/>
          </w:tcPr>
          <w:p w14:paraId="65A72FF4" w14:textId="77777777" w:rsidR="001E1F17" w:rsidRDefault="007539CB">
            <w:r>
              <w:t>Any amount</w:t>
            </w:r>
          </w:p>
        </w:tc>
        <w:tc>
          <w:tcPr>
            <w:tcW w:w="2200" w:type="dxa"/>
          </w:tcPr>
          <w:p w14:paraId="59E7A1F8" w14:textId="77777777" w:rsidR="001E1F17" w:rsidRDefault="007539CB">
            <w:r>
              <w:t>—</w:t>
            </w:r>
          </w:p>
        </w:tc>
        <w:tc>
          <w:tcPr>
            <w:tcW w:w="2600" w:type="dxa"/>
          </w:tcPr>
          <w:p w14:paraId="263D8A60" w14:textId="77777777" w:rsidR="001E1F17" w:rsidRDefault="007539CB">
            <w:r>
              <w:t>Airfare, rail, rideshare, mileage</w:t>
            </w:r>
          </w:p>
        </w:tc>
      </w:tr>
      <w:tr w:rsidR="001E1F17" w14:paraId="27FC9E53" w14:textId="77777777">
        <w:tblPrEx>
          <w:tblCellMar>
            <w:top w:w="0" w:type="dxa"/>
            <w:bottom w:w="0" w:type="dxa"/>
          </w:tblCellMar>
        </w:tblPrEx>
        <w:tc>
          <w:tcPr>
            <w:tcW w:w="1800" w:type="dxa"/>
          </w:tcPr>
          <w:p w14:paraId="684859BF" w14:textId="77777777" w:rsidR="001E1F17" w:rsidRDefault="007539CB">
            <w:r>
              <w:t>Lodging</w:t>
            </w:r>
          </w:p>
        </w:tc>
        <w:tc>
          <w:tcPr>
            <w:tcW w:w="1600" w:type="dxa"/>
          </w:tcPr>
          <w:p w14:paraId="3AA7F1D1" w14:textId="77777777" w:rsidR="001E1F17" w:rsidRDefault="007539CB">
            <w:r>
              <w:t>$300 / night</w:t>
            </w:r>
          </w:p>
        </w:tc>
        <w:tc>
          <w:tcPr>
            <w:tcW w:w="1800" w:type="dxa"/>
          </w:tcPr>
          <w:p w14:paraId="57F4BB50" w14:textId="77777777" w:rsidR="001E1F17" w:rsidRDefault="007539CB">
            <w:r>
              <w:t>Any amount</w:t>
            </w:r>
          </w:p>
        </w:tc>
        <w:tc>
          <w:tcPr>
            <w:tcW w:w="2200" w:type="dxa"/>
          </w:tcPr>
          <w:p w14:paraId="62C2C47A" w14:textId="77777777" w:rsidR="001E1F17" w:rsidRDefault="007539CB">
            <w:r>
              <w:t>—</w:t>
            </w:r>
          </w:p>
        </w:tc>
        <w:tc>
          <w:tcPr>
            <w:tcW w:w="2600" w:type="dxa"/>
          </w:tcPr>
          <w:p w14:paraId="64F8630C" w14:textId="77777777" w:rsidR="001E1F17" w:rsidRDefault="007539CB">
            <w:r>
              <w:t>Standard room rate only; upgrades are employee expense</w:t>
            </w:r>
          </w:p>
        </w:tc>
      </w:tr>
      <w:tr w:rsidR="001E1F17" w14:paraId="47347E6F" w14:textId="77777777">
        <w:tblPrEx>
          <w:tblCellMar>
            <w:top w:w="0" w:type="dxa"/>
            <w:bottom w:w="0" w:type="dxa"/>
          </w:tblCellMar>
        </w:tblPrEx>
        <w:tc>
          <w:tcPr>
            <w:tcW w:w="1800" w:type="dxa"/>
          </w:tcPr>
          <w:p w14:paraId="21529D43" w14:textId="77777777" w:rsidR="001E1F17" w:rsidRDefault="007539CB">
            <w:r>
              <w:t>Software</w:t>
            </w:r>
          </w:p>
        </w:tc>
        <w:tc>
          <w:tcPr>
            <w:tcW w:w="1600" w:type="dxa"/>
          </w:tcPr>
          <w:p w14:paraId="7967D546" w14:textId="77777777" w:rsidR="001E1F17" w:rsidRDefault="007539CB">
            <w:r>
              <w:t>$500 / instance</w:t>
            </w:r>
          </w:p>
        </w:tc>
        <w:tc>
          <w:tcPr>
            <w:tcW w:w="1800" w:type="dxa"/>
          </w:tcPr>
          <w:p w14:paraId="1F6DD8A4" w14:textId="77777777" w:rsidR="001E1F17" w:rsidRDefault="007539CB">
            <w:r>
              <w:t>$50</w:t>
            </w:r>
          </w:p>
        </w:tc>
        <w:tc>
          <w:tcPr>
            <w:tcW w:w="2200" w:type="dxa"/>
          </w:tcPr>
          <w:p w14:paraId="541CC8F2" w14:textId="77777777" w:rsidR="001E1F17" w:rsidRDefault="007539CB">
            <w:r>
              <w:t>$200</w:t>
            </w:r>
          </w:p>
        </w:tc>
        <w:tc>
          <w:tcPr>
            <w:tcW w:w="2600" w:type="dxa"/>
          </w:tcPr>
          <w:p w14:paraId="6F55BCAF" w14:textId="77777777" w:rsidR="001E1F17" w:rsidRDefault="007539CB">
            <w:r>
              <w:t>Recurring subscriptions require Finance pre-approval</w:t>
            </w:r>
          </w:p>
        </w:tc>
      </w:tr>
      <w:tr w:rsidR="001E1F17" w14:paraId="0DA4D9A4" w14:textId="77777777">
        <w:tblPrEx>
          <w:tblCellMar>
            <w:top w:w="0" w:type="dxa"/>
            <w:bottom w:w="0" w:type="dxa"/>
          </w:tblCellMar>
        </w:tblPrEx>
        <w:tc>
          <w:tcPr>
            <w:tcW w:w="1800" w:type="dxa"/>
          </w:tcPr>
          <w:p w14:paraId="43E341B7" w14:textId="77777777" w:rsidR="001E1F17" w:rsidRDefault="007539CB">
            <w:r>
              <w:t>Office Supplies</w:t>
            </w:r>
          </w:p>
        </w:tc>
        <w:tc>
          <w:tcPr>
            <w:tcW w:w="1600" w:type="dxa"/>
          </w:tcPr>
          <w:p w14:paraId="005CD7B6" w14:textId="77777777" w:rsidR="001E1F17" w:rsidRDefault="007539CB">
            <w:r>
              <w:t>$150 / month</w:t>
            </w:r>
          </w:p>
        </w:tc>
        <w:tc>
          <w:tcPr>
            <w:tcW w:w="1800" w:type="dxa"/>
          </w:tcPr>
          <w:p w14:paraId="04CC0683" w14:textId="77777777" w:rsidR="001E1F17" w:rsidRDefault="007539CB">
            <w:r>
              <w:t>$25</w:t>
            </w:r>
          </w:p>
        </w:tc>
        <w:tc>
          <w:tcPr>
            <w:tcW w:w="2200" w:type="dxa"/>
          </w:tcPr>
          <w:p w14:paraId="22227535" w14:textId="77777777" w:rsidR="001E1F17" w:rsidRDefault="007539CB">
            <w:r>
              <w:t>—</w:t>
            </w:r>
          </w:p>
        </w:tc>
        <w:tc>
          <w:tcPr>
            <w:tcW w:w="2600" w:type="dxa"/>
          </w:tcPr>
          <w:p w14:paraId="1EF73B26" w14:textId="77777777" w:rsidR="001E1F17" w:rsidRDefault="007539CB">
            <w:r>
              <w:t>Home-office equipment routed through IT, not this policy</w:t>
            </w:r>
          </w:p>
        </w:tc>
      </w:tr>
      <w:tr w:rsidR="001E1F17" w14:paraId="3FF6B960" w14:textId="77777777">
        <w:tblPrEx>
          <w:tblCellMar>
            <w:top w:w="0" w:type="dxa"/>
            <w:bottom w:w="0" w:type="dxa"/>
          </w:tblCellMar>
        </w:tblPrEx>
        <w:tc>
          <w:tcPr>
            <w:tcW w:w="1800" w:type="dxa"/>
          </w:tcPr>
          <w:p w14:paraId="083E2696" w14:textId="77777777" w:rsidR="001E1F17" w:rsidRDefault="007539CB">
            <w:r>
              <w:t>Client Entertainment</w:t>
            </w:r>
          </w:p>
        </w:tc>
        <w:tc>
          <w:tcPr>
            <w:tcW w:w="1600" w:type="dxa"/>
          </w:tcPr>
          <w:p w14:paraId="535AF496" w14:textId="77777777" w:rsidR="001E1F17" w:rsidRDefault="007539CB">
            <w:r>
              <w:t>$250 / event</w:t>
            </w:r>
          </w:p>
        </w:tc>
        <w:tc>
          <w:tcPr>
            <w:tcW w:w="1800" w:type="dxa"/>
          </w:tcPr>
          <w:p w14:paraId="63660781" w14:textId="77777777" w:rsidR="001E1F17" w:rsidRDefault="007539CB">
            <w:r>
              <w:t>Any amount</w:t>
            </w:r>
          </w:p>
        </w:tc>
        <w:tc>
          <w:tcPr>
            <w:tcW w:w="2200" w:type="dxa"/>
          </w:tcPr>
          <w:p w14:paraId="5C3ABC53" w14:textId="77777777" w:rsidR="001E1F17" w:rsidRDefault="007539CB">
            <w:r>
              <w:t>$100</w:t>
            </w:r>
          </w:p>
        </w:tc>
        <w:tc>
          <w:tcPr>
            <w:tcW w:w="2600" w:type="dxa"/>
          </w:tcPr>
          <w:p w14:paraId="54579B89" w14:textId="77777777" w:rsidR="001E1F17" w:rsidRDefault="007539CB">
            <w:r>
              <w:t>Must list client name and business purpose</w:t>
            </w:r>
          </w:p>
        </w:tc>
      </w:tr>
    </w:tbl>
    <w:p w14:paraId="77327336" w14:textId="77777777" w:rsidR="001E1F17" w:rsidRDefault="007539CB">
      <w:pPr>
        <w:pStyle w:val="Heading1"/>
      </w:pPr>
      <w:r>
        <w:t>5. Category Detail</w:t>
      </w:r>
    </w:p>
    <w:p w14:paraId="657AC890" w14:textId="77777777" w:rsidR="001E1F17" w:rsidRDefault="007539CB">
      <w:pPr>
        <w:pStyle w:val="Heading2"/>
      </w:pPr>
      <w:r>
        <w:t>5.1 Meals</w:t>
      </w:r>
    </w:p>
    <w:p w14:paraId="326D3686" w14:textId="77777777" w:rsidR="001E1F17" w:rsidRDefault="007539CB">
      <w:pPr>
        <w:spacing w:after="160"/>
      </w:pPr>
      <w:r>
        <w:t>Meal expenses are reimbursable up to $75 per person per day when traveling on Company business or hosting a business meeting. Itemized receipts are required for any single meal expense of $25 or more. Alcohol is not reimbursable under any circumstance and must be excluded from the submitted amount.</w:t>
      </w:r>
    </w:p>
    <w:p w14:paraId="22D16FF9" w14:textId="77777777" w:rsidR="001E1F17" w:rsidRDefault="007539CB">
      <w:pPr>
        <w:pStyle w:val="Heading2"/>
      </w:pPr>
      <w:r>
        <w:t>5.2 Travel</w:t>
      </w:r>
    </w:p>
    <w:p w14:paraId="57C16D43" w14:textId="77777777" w:rsidR="001E1F17" w:rsidRDefault="007539CB">
      <w:pPr>
        <w:spacing w:after="160"/>
      </w:pPr>
      <w:r>
        <w:lastRenderedPageBreak/>
        <w:t xml:space="preserve">Travel expenses include airfare, rail, rideshare/taxi, and personal vehicle mileage (reimbursed at the current IRS standard mileage rate). Daily </w:t>
      </w:r>
      <w:proofErr w:type="gramStart"/>
      <w:r>
        <w:t>travel spend</w:t>
      </w:r>
      <w:proofErr w:type="gramEnd"/>
      <w:r>
        <w:t xml:space="preserve"> should not exceed $400 absent extenuating circumstances (e.g., last-minute booking, single-connection-only routing). All travel expenses require a receipt regardless of amount.</w:t>
      </w:r>
    </w:p>
    <w:p w14:paraId="328979F5" w14:textId="77777777" w:rsidR="001E1F17" w:rsidRDefault="007539CB">
      <w:pPr>
        <w:pStyle w:val="Heading2"/>
      </w:pPr>
      <w:r>
        <w:t>5.3 Lodging</w:t>
      </w:r>
    </w:p>
    <w:p w14:paraId="5F1884F1" w14:textId="77777777" w:rsidR="001E1F17" w:rsidRDefault="007539CB">
      <w:pPr>
        <w:spacing w:after="160"/>
      </w:pPr>
      <w:r>
        <w:t xml:space="preserve">Lodging is </w:t>
      </w:r>
      <w:proofErr w:type="gramStart"/>
      <w:r>
        <w:t>reimbursable</w:t>
      </w:r>
      <w:proofErr w:type="gramEnd"/>
      <w:r>
        <w:t xml:space="preserve"> up to $300 per night for the standard room rate at </w:t>
      </w:r>
      <w:proofErr w:type="gramStart"/>
      <w:r>
        <w:t>a business-appropriate</w:t>
      </w:r>
      <w:proofErr w:type="gramEnd"/>
      <w:r>
        <w:t xml:space="preserve"> hotel. Room upgrades, resort fees not required by the property, and incidental hotel charges (minibar, movies, spa services) are the </w:t>
      </w:r>
      <w:proofErr w:type="gramStart"/>
      <w:r>
        <w:t>employee's</w:t>
      </w:r>
      <w:proofErr w:type="gramEnd"/>
      <w:r>
        <w:t xml:space="preserve"> responsibility and must not be included in submitted amounts.</w:t>
      </w:r>
    </w:p>
    <w:p w14:paraId="4AB102B1" w14:textId="77777777" w:rsidR="001E1F17" w:rsidRDefault="007539CB">
      <w:pPr>
        <w:pStyle w:val="Heading2"/>
      </w:pPr>
      <w:r>
        <w:t>5.4 Software</w:t>
      </w:r>
    </w:p>
    <w:p w14:paraId="03C124C9" w14:textId="77777777" w:rsidR="001E1F17" w:rsidRDefault="007539CB">
      <w:pPr>
        <w:spacing w:after="160"/>
      </w:pPr>
      <w:r>
        <w:t>Individual software purchases or subscriptions up to $500 may be submitted as a standard expense with a receipt required above $50. Any software expense exceeding $200 requires prior written approval from the employee's manager, attached to the expense report, before submission. Recurring subscriptions should be routed to Finance for centralized procurement rather than submitted as individual employee expenses where possible.</w:t>
      </w:r>
    </w:p>
    <w:p w14:paraId="23ACD663" w14:textId="77777777" w:rsidR="001E1F17" w:rsidRDefault="007539CB">
      <w:pPr>
        <w:pStyle w:val="Heading2"/>
      </w:pPr>
      <w:r>
        <w:t>5.5 Office Supplies</w:t>
      </w:r>
    </w:p>
    <w:p w14:paraId="38A9639D" w14:textId="77777777" w:rsidR="001E1F17" w:rsidRDefault="007539CB">
      <w:pPr>
        <w:spacing w:after="160"/>
      </w:pPr>
      <w:r>
        <w:t xml:space="preserve">Office supply purchases are </w:t>
      </w:r>
      <w:proofErr w:type="gramStart"/>
      <w:r>
        <w:t>reimbursable</w:t>
      </w:r>
      <w:proofErr w:type="gramEnd"/>
      <w:r>
        <w:t xml:space="preserve"> up to $150 per month with a receipt required above $25. Home-office equipment (monitors, chairs, desks) is not covered under this policy and should be requested through the IT equipment request process instead.</w:t>
      </w:r>
    </w:p>
    <w:p w14:paraId="555F5B18" w14:textId="77777777" w:rsidR="001E1F17" w:rsidRDefault="007539CB">
      <w:pPr>
        <w:pStyle w:val="Heading2"/>
      </w:pPr>
      <w:r>
        <w:t>5.6 Client Entertainment</w:t>
      </w:r>
    </w:p>
    <w:p w14:paraId="4636987C" w14:textId="77777777" w:rsidR="001E1F17" w:rsidRDefault="007539CB">
      <w:pPr>
        <w:spacing w:after="160"/>
      </w:pPr>
      <w:r>
        <w:t xml:space="preserve">Client entertainment expenses (meals, event tickets, and similar) are reimbursable up to $250 per event. A receipt is required regardless of amount, and the submission must list the </w:t>
      </w:r>
      <w:proofErr w:type="gramStart"/>
      <w:r>
        <w:t>client</w:t>
      </w:r>
      <w:proofErr w:type="gramEnd"/>
      <w:r>
        <w:t xml:space="preserve"> name(s) in attendance and the business purpose of the engagement. Any client entertainment expense exceeding $100 requires prior manager approval.</w:t>
      </w:r>
    </w:p>
    <w:p w14:paraId="3784B50C" w14:textId="77777777" w:rsidR="001E1F17" w:rsidRDefault="007539CB">
      <w:pPr>
        <w:pStyle w:val="Heading1"/>
      </w:pPr>
      <w:r>
        <w:t>6. Approval Workflow</w:t>
      </w:r>
    </w:p>
    <w:p w14:paraId="79226BB1" w14:textId="77777777" w:rsidR="001E1F17" w:rsidRDefault="007539CB">
      <w:pPr>
        <w:pStyle w:val="ListParagraph"/>
        <w:numPr>
          <w:ilvl w:val="0"/>
          <w:numId w:val="1"/>
        </w:numPr>
        <w:spacing w:after="80"/>
      </w:pPr>
      <w:r>
        <w:t>All expense reports require direct manager approval prior to reimbursement.</w:t>
      </w:r>
    </w:p>
    <w:p w14:paraId="388A5971" w14:textId="77777777" w:rsidR="001E1F17" w:rsidRDefault="007539CB">
      <w:pPr>
        <w:pStyle w:val="ListParagraph"/>
        <w:numPr>
          <w:ilvl w:val="0"/>
          <w:numId w:val="1"/>
        </w:numPr>
        <w:spacing w:after="80"/>
      </w:pPr>
      <w:r>
        <w:t>Expenses that exceed a category's daily/per-instance limit are automatically flagged and routed to Finance for secondary review, regardless of manager approval.</w:t>
      </w:r>
    </w:p>
    <w:p w14:paraId="2E960C82" w14:textId="77777777" w:rsidR="001E1F17" w:rsidRDefault="007539CB">
      <w:pPr>
        <w:pStyle w:val="ListParagraph"/>
        <w:numPr>
          <w:ilvl w:val="0"/>
          <w:numId w:val="1"/>
        </w:numPr>
        <w:spacing w:after="80"/>
      </w:pPr>
      <w:r>
        <w:t>Expenses missing a required receipt are automatically flagged and held pending documentation.</w:t>
      </w:r>
    </w:p>
    <w:p w14:paraId="4D6AA381" w14:textId="77777777" w:rsidR="001E1F17" w:rsidRDefault="007539CB">
      <w:pPr>
        <w:pStyle w:val="ListParagraph"/>
        <w:numPr>
          <w:ilvl w:val="0"/>
          <w:numId w:val="1"/>
        </w:numPr>
        <w:spacing w:after="80"/>
      </w:pPr>
      <w:r>
        <w:t xml:space="preserve">Software and Client Entertainment expenses above their respective approval thresholds require documented manager sign-off attached to the report before Finance </w:t>
      </w:r>
      <w:proofErr w:type="gramStart"/>
      <w:r>
        <w:t>will process</w:t>
      </w:r>
      <w:proofErr w:type="gramEnd"/>
      <w:r>
        <w:t xml:space="preserve"> reimbursement.</w:t>
      </w:r>
    </w:p>
    <w:p w14:paraId="0F0F6242" w14:textId="77777777" w:rsidR="001E1F17" w:rsidRDefault="007539CB">
      <w:pPr>
        <w:pStyle w:val="Heading1"/>
      </w:pPr>
      <w:r>
        <w:t>7. Non-Reimbursable Expenses</w:t>
      </w:r>
    </w:p>
    <w:p w14:paraId="5C394203" w14:textId="77777777" w:rsidR="001E1F17" w:rsidRDefault="007539CB">
      <w:pPr>
        <w:pStyle w:val="ListParagraph"/>
        <w:numPr>
          <w:ilvl w:val="0"/>
          <w:numId w:val="1"/>
        </w:numPr>
        <w:spacing w:after="80"/>
      </w:pPr>
      <w:r>
        <w:t>Alcohol (except where explicitly pre-approved for a client-facing event and itemized separately)</w:t>
      </w:r>
    </w:p>
    <w:p w14:paraId="1BA6443C" w14:textId="77777777" w:rsidR="001E1F17" w:rsidRDefault="007539CB">
      <w:pPr>
        <w:pStyle w:val="ListParagraph"/>
        <w:numPr>
          <w:ilvl w:val="0"/>
          <w:numId w:val="1"/>
        </w:numPr>
        <w:spacing w:after="80"/>
      </w:pPr>
      <w:r>
        <w:t>Personal entertainment, including in-flight movies, minibar charges, and spa services</w:t>
      </w:r>
    </w:p>
    <w:p w14:paraId="54946ECA" w14:textId="77777777" w:rsidR="001E1F17" w:rsidRDefault="007539CB">
      <w:pPr>
        <w:pStyle w:val="ListParagraph"/>
        <w:numPr>
          <w:ilvl w:val="0"/>
          <w:numId w:val="1"/>
        </w:numPr>
        <w:spacing w:after="80"/>
      </w:pPr>
      <w:r>
        <w:t>Traffic and parking fines</w:t>
      </w:r>
    </w:p>
    <w:p w14:paraId="5D6B0FAD" w14:textId="77777777" w:rsidR="001E1F17" w:rsidRDefault="007539CB">
      <w:pPr>
        <w:pStyle w:val="ListParagraph"/>
        <w:numPr>
          <w:ilvl w:val="0"/>
          <w:numId w:val="1"/>
        </w:numPr>
        <w:spacing w:after="80"/>
      </w:pPr>
      <w:r>
        <w:t>Expenses lacking a valid business purpose</w:t>
      </w:r>
    </w:p>
    <w:p w14:paraId="6F4546F2" w14:textId="77777777" w:rsidR="001E1F17" w:rsidRDefault="007539CB">
      <w:pPr>
        <w:pStyle w:val="ListParagraph"/>
        <w:numPr>
          <w:ilvl w:val="0"/>
          <w:numId w:val="1"/>
        </w:numPr>
        <w:spacing w:after="80"/>
      </w:pPr>
      <w:r>
        <w:t>Expenses submitted more than 30 days after the date incurred, absent Finance pre-approval for the delay</w:t>
      </w:r>
    </w:p>
    <w:p w14:paraId="4FBFAFB8" w14:textId="77777777" w:rsidR="001E1F17" w:rsidRDefault="007539CB">
      <w:pPr>
        <w:pStyle w:val="Heading1"/>
      </w:pPr>
      <w:r>
        <w:t>8. Policy Exceptions</w:t>
      </w:r>
    </w:p>
    <w:p w14:paraId="07C4FECA" w14:textId="77777777" w:rsidR="001E1F17" w:rsidRDefault="007539CB">
      <w:pPr>
        <w:spacing w:after="160"/>
      </w:pPr>
      <w:r>
        <w:t>Any exception to the limits or requirements in this policy must be approved in writing by both the employee's manager and a member of the Finance Department prior to the expense being incurred, where practicable. Retroactive exceptions are granted only in extraordinary circumstances.</w:t>
      </w:r>
    </w:p>
    <w:p w14:paraId="2B6F2FCD" w14:textId="77777777" w:rsidR="001E1F17" w:rsidRDefault="007539CB">
      <w:pPr>
        <w:pStyle w:val="Heading1"/>
      </w:pPr>
      <w:r>
        <w:t>9. Revision History</w:t>
      </w:r>
    </w:p>
    <w:p w14:paraId="63898996" w14:textId="77777777" w:rsidR="001E1F17" w:rsidRDefault="007539CB">
      <w:pPr>
        <w:pStyle w:val="ListParagraph"/>
        <w:numPr>
          <w:ilvl w:val="0"/>
          <w:numId w:val="1"/>
        </w:numPr>
        <w:spacing w:after="80"/>
      </w:pPr>
      <w:r>
        <w:t>v3.2 — January 2026: Updated software approval threshold from $150 to $200</w:t>
      </w:r>
    </w:p>
    <w:p w14:paraId="2E702F96" w14:textId="77777777" w:rsidR="001E1F17" w:rsidRDefault="007539CB">
      <w:pPr>
        <w:pStyle w:val="ListParagraph"/>
        <w:numPr>
          <w:ilvl w:val="0"/>
          <w:numId w:val="1"/>
        </w:numPr>
        <w:spacing w:after="80"/>
      </w:pPr>
      <w:r>
        <w:t>v3.1 — July 2025: Added client entertainment documentation requirement</w:t>
      </w:r>
    </w:p>
    <w:p w14:paraId="20DE5D25" w14:textId="77777777" w:rsidR="001E1F17" w:rsidRDefault="007539CB">
      <w:pPr>
        <w:pStyle w:val="ListParagraph"/>
        <w:numPr>
          <w:ilvl w:val="0"/>
          <w:numId w:val="1"/>
        </w:numPr>
        <w:spacing w:after="80"/>
      </w:pPr>
      <w:r>
        <w:t xml:space="preserve">v3.0 — January 2025: Full policy </w:t>
      </w:r>
      <w:proofErr w:type="gramStart"/>
      <w:r>
        <w:t>restructure</w:t>
      </w:r>
      <w:proofErr w:type="gramEnd"/>
      <w:r>
        <w:t xml:space="preserve"> and category limit refresh</w:t>
      </w:r>
    </w:p>
    <w:sectPr w:rsidR="001E1F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A7CA0"/>
    <w:multiLevelType w:val="hybridMultilevel"/>
    <w:tmpl w:val="C196105C"/>
    <w:lvl w:ilvl="0" w:tplc="D5E43DB8">
      <w:start w:val="1"/>
      <w:numFmt w:val="bullet"/>
      <w:lvlText w:val="●"/>
      <w:lvlJc w:val="left"/>
      <w:pPr>
        <w:ind w:left="720" w:hanging="360"/>
      </w:pPr>
    </w:lvl>
    <w:lvl w:ilvl="1" w:tplc="066CE08E">
      <w:start w:val="1"/>
      <w:numFmt w:val="bullet"/>
      <w:lvlText w:val="○"/>
      <w:lvlJc w:val="left"/>
      <w:pPr>
        <w:ind w:left="1440" w:hanging="360"/>
      </w:pPr>
    </w:lvl>
    <w:lvl w:ilvl="2" w:tplc="6728F870">
      <w:start w:val="1"/>
      <w:numFmt w:val="bullet"/>
      <w:lvlText w:val="■"/>
      <w:lvlJc w:val="left"/>
      <w:pPr>
        <w:ind w:left="2160" w:hanging="360"/>
      </w:pPr>
    </w:lvl>
    <w:lvl w:ilvl="3" w:tplc="90DE28F2">
      <w:start w:val="1"/>
      <w:numFmt w:val="bullet"/>
      <w:lvlText w:val="●"/>
      <w:lvlJc w:val="left"/>
      <w:pPr>
        <w:ind w:left="2880" w:hanging="360"/>
      </w:pPr>
    </w:lvl>
    <w:lvl w:ilvl="4" w:tplc="25C451B8">
      <w:start w:val="1"/>
      <w:numFmt w:val="bullet"/>
      <w:lvlText w:val="○"/>
      <w:lvlJc w:val="left"/>
      <w:pPr>
        <w:ind w:left="3600" w:hanging="360"/>
      </w:pPr>
    </w:lvl>
    <w:lvl w:ilvl="5" w:tplc="79F8B8E8">
      <w:start w:val="1"/>
      <w:numFmt w:val="bullet"/>
      <w:lvlText w:val="■"/>
      <w:lvlJc w:val="left"/>
      <w:pPr>
        <w:ind w:left="4320" w:hanging="360"/>
      </w:pPr>
    </w:lvl>
    <w:lvl w:ilvl="6" w:tplc="1F5EDC2C">
      <w:start w:val="1"/>
      <w:numFmt w:val="bullet"/>
      <w:lvlText w:val="●"/>
      <w:lvlJc w:val="left"/>
      <w:pPr>
        <w:ind w:left="5040" w:hanging="360"/>
      </w:pPr>
    </w:lvl>
    <w:lvl w:ilvl="7" w:tplc="30F6ACCC">
      <w:start w:val="1"/>
      <w:numFmt w:val="bullet"/>
      <w:lvlText w:val="●"/>
      <w:lvlJc w:val="left"/>
      <w:pPr>
        <w:ind w:left="5760" w:hanging="360"/>
      </w:pPr>
    </w:lvl>
    <w:lvl w:ilvl="8" w:tplc="A8F68196">
      <w:start w:val="1"/>
      <w:numFmt w:val="bullet"/>
      <w:lvlText w:val="●"/>
      <w:lvlJc w:val="left"/>
      <w:pPr>
        <w:ind w:left="6480" w:hanging="360"/>
      </w:pPr>
    </w:lvl>
  </w:abstractNum>
  <w:num w:numId="1" w16cid:durableId="417674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17"/>
    <w:rsid w:val="001E1F17"/>
    <w:rsid w:val="005258B3"/>
    <w:rsid w:val="006A7EF6"/>
    <w:rsid w:val="00753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73E8"/>
  <w15:docId w15:val="{3EB6D2A1-EE16-46AF-9FE9-D4DB99E84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Seller</cp:lastModifiedBy>
  <cp:revision>2</cp:revision>
  <dcterms:created xsi:type="dcterms:W3CDTF">2026-08-22T01:51:00Z</dcterms:created>
  <dcterms:modified xsi:type="dcterms:W3CDTF">2026-08-22T01:51:00Z</dcterms:modified>
</cp:coreProperties>
</file>