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Heading1"/>
        <w:jc w:val="left"/>
        <w:rPr>
          <w:rFonts w:ascii="Arial" w:hAnsi="Arial" w:eastAsia="Arial" w:cs="Arial"/>
          <w:b w:val="false"/>
          <w:sz w:val="17"/>
          <w:szCs w:val="17"/>
        </w:rPr>
      </w:pPr>
      <w:bookmarkStart w:id="0" w:name="_7wymxszc12ic"/>
      <w:bookmarkEnd w:id="0"/>
      <w:r>
        <w:rPr>
          <w:rFonts w:eastAsia="Arial" w:cs="Arial"/>
          <w:b w:val="false"/>
          <w:sz w:val="17"/>
          <w:szCs w:val="17"/>
        </w:rPr>
        <w:t>PROGRAMA DE REABILITAÇÃO - Educação Física</w:t>
      </w:r>
    </w:p>
    <w:p>
      <w:pPr>
        <w:pStyle w:val="Heading1"/>
        <w:rPr/>
      </w:pPr>
      <w:r>
        <w:rPr>
          <w:rFonts w:eastAsia="Arial" w:cs="Arial"/>
          <w:b w:val="false"/>
          <w:sz w:val="17"/>
          <w:szCs w:val="17"/>
        </w:rPr>
        <w:br/>
      </w:r>
      <w:r>
        <w:rPr>
          <w:sz w:val="18"/>
          <w:szCs w:val="18"/>
        </w:rPr>
        <w:t>{</w:t>
      </w:r>
      <w:r>
        <w:rPr>
          <w:rFonts w:eastAsia="Arial" w:cs="Arial"/>
          <w:color w:val="auto"/>
          <w:kern w:val="0"/>
          <w:sz w:val="18"/>
          <w:szCs w:val="18"/>
          <w:lang w:val="en-US" w:eastAsia="zh-CN" w:bidi="hi-IN"/>
        </w:rPr>
        <w:t>paciente</w:t>
      </w:r>
      <w:r>
        <w:rPr>
          <w:sz w:val="18"/>
          <w:szCs w:val="18"/>
        </w:rPr>
        <w:t xml:space="preserve">} </w:t>
      </w:r>
      <w:r>
        <w:rPr>
          <w:rFonts w:eastAsia="Arial" w:cs="Arial"/>
          <w:b w:val="false"/>
          <w:sz w:val="17"/>
          <w:szCs w:val="17"/>
        </w:rPr>
        <w:t>participou do acompanhamento no grupo semanal de estimulação (GHCR) com o objetivo de ampliar as vivências do uso da cadeira de rodas no cotidiano, incremento do condicionamento físico global e treino de habilidades que visem a sua independência e autonomia.</w:t>
      </w:r>
    </w:p>
    <w:p>
      <w:pPr>
        <w:pStyle w:val="Heading1"/>
        <w:rPr>
          <w:rFonts w:eastAsia="Arial" w:cs="Arial"/>
          <w:b w:val="false"/>
          <w:sz w:val="17"/>
          <w:szCs w:val="17"/>
        </w:rPr>
      </w:pPr>
      <w:r>
        <w:rPr>
          <w:rFonts w:eastAsia="Arial" w:cs="Arial"/>
          <w:b w:val="false"/>
          <w:sz w:val="17"/>
          <w:szCs w:val="17"/>
        </w:rPr>
        <w:t>Neste período recebeu orientações sobre os cuidados a serem observados (prevenção de lesões e quedas, bem como manutenção da cadeira de rodas).</w:t>
      </w:r>
    </w:p>
    <w:p>
      <w:pPr>
        <w:pStyle w:val="normal1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eastAsia="Arial" w:cs="Arial"/>
          <w:b w:val="false"/>
          <w:sz w:val="17"/>
          <w:szCs w:val="17"/>
        </w:rPr>
      </w:pPr>
      <w:r>
        <w:rPr>
          <w:rFonts w:eastAsia="Arial" w:cs="Arial"/>
          <w:b w:val="false"/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>
          <w:rFonts w:eastAsia="Arial" w:cs="Arial"/>
          <w:b w:val="false"/>
          <w:sz w:val="17"/>
          <w:szCs w:val="17"/>
        </w:rPr>
        <w:t>No atendimento de hoje observamos o seguinte desempenho:</w:t>
        <w:br/>
      </w:r>
    </w:p>
    <w:tbl>
      <w:tblPr>
        <w:tblStyle w:val="Table1"/>
        <w:tblW w:w="902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6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HABILIDADE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DESEMPENHO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HABILIDADE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DESEMPENHO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Move-se para frente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Sobe inclinação íngreme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{habilidade_16}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Move-se para trás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Desce inclinação íngreme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{habilidade_17}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Gira no lugar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{habilidade_3}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Move-se em superfície macia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{habilidade_18}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Faz curva enquanto se move para frente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{habilidade_4}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Passa sobre obstáculo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{habilidade_19}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Faz curva enquanto se move para trás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{habilidade_5}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Sobe meio-fio baixo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{habilidade_20}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Manobra de lado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{habilidade_6}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Desce meio-fio baixo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{habilidade_21}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Alcança objetos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{habilidade_7}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Sobe meio-fio alto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{habilidade_22}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Opera opções de posicionamento corporal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{habilidade_8}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Desce meio-fio alto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{habilidade_23}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Desloca o peso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{habilidade_9}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Realiza manobra estacionária empinando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{habilidade_24}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Realiza transferências em superfícies planas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{habilidade_10}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Gira no lugar na posição de empinar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{habilidade_25}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Passa por porta com dobradiça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{habilidade_11}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Move-se para frente e para trás na posição de empinar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{habilidade_26}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Dobra e desdobra a cadeira de rodas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{habilidade_12}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Desce meio-fio alto na posição de empinar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{habilidade_27}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Realiza transferências do chão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{habilidade_13}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Desce inclinação íngreme na posição de empinar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{habilidade_28}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Sobe inclinação leve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{habilidade_14}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Sobe escadas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{habilidade_29}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Desce inclinação leve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{habilidade_15}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sz w:val="17"/>
                <w:szCs w:val="17"/>
              </w:rPr>
            </w:pPr>
            <w:r>
              <w:rPr>
                <w:rFonts w:eastAsia="Arial" w:cs="Arial"/>
                <w:b w:val="false"/>
                <w:sz w:val="17"/>
                <w:szCs w:val="17"/>
              </w:rPr>
              <w:t>Desce escadas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{habilidade_30}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sz w:val="17"/>
          <w:szCs w:val="17"/>
        </w:rPr>
      </w:pPr>
      <w:r>
        <w:rPr>
          <w:rFonts w:eastAsia="Arial" w:cs="Arial"/>
          <w:b w:val="false"/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rFonts w:ascii="Arial" w:hAnsi="Arial" w:eastAsia="Arial" w:cs="Arial"/>
          <w:b w:val="false"/>
          <w:sz w:val="17"/>
          <w:szCs w:val="17"/>
        </w:rPr>
      </w:pPr>
      <w:r>
        <w:rPr>
          <w:rFonts w:eastAsia="Arial" w:cs="Arial"/>
          <w:b w:val="false"/>
          <w:sz w:val="17"/>
          <w:szCs w:val="17"/>
        </w:rPr>
        <w:br/>
        <w:t>0 = Falha, 1 = Independência parcial, 2 = Independência, 3 = Independência avançada</w:t>
        <w:br/>
      </w:r>
    </w:p>
    <w:p>
      <w:pPr>
        <w:pStyle w:val="normal1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Escore domiciliar = {escore_domiciliar}%</w:t>
      </w:r>
    </w:p>
    <w:p>
      <w:pPr>
        <w:pStyle w:val="normal1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Escore comunitário = {escore_comunitario}%</w:t>
      </w:r>
    </w:p>
    <w:p>
      <w:pPr>
        <w:pStyle w:val="normal1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Escore avançado = {escore_avancado}%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rFonts w:ascii="Arial" w:hAnsi="Arial" w:eastAsia="Arial" w:cs="Arial"/>
          <w:b w:val="false"/>
          <w:sz w:val="17"/>
          <w:szCs w:val="17"/>
        </w:rPr>
      </w:pPr>
      <w:r>
        <w:rPr>
          <w:rFonts w:eastAsia="Arial" w:cs="Arial"/>
          <w:b w:val="false"/>
          <w:sz w:val="17"/>
          <w:szCs w:val="17"/>
        </w:rPr>
        <w:t>Estimulamos a manutenção dos treinos em domicílio, seguindo as orientações repassadas durante o atendimento.</w:t>
        <w:b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rFonts w:ascii="Arial" w:hAnsi="Arial" w:eastAsia="Arial" w:cs="Arial"/>
          <w:b w:val="false"/>
          <w:sz w:val="17"/>
          <w:szCs w:val="17"/>
        </w:rPr>
      </w:pPr>
      <w:r>
        <w:rPr>
          <w:rFonts w:eastAsia="Arial" w:cs="Arial"/>
          <w:b w:val="false"/>
          <w:sz w:val="17"/>
          <w:szCs w:val="17"/>
        </w:rPr>
        <w:t>Encerramos o acompanhamento.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Cabealhoerodapuser">
    <w:name w:val="Cabeçalho e rodapé (user)"/>
    <w:basedOn w:val="Normal"/>
    <w:qFormat/>
    <w:pPr/>
    <w:rPr/>
  </w:style>
  <w:style w:type="paragraph" w:styleId="Footer">
    <w:name w:val="footer"/>
    <w:basedOn w:val="Cabealhoerodap"/>
    <w:pPr/>
    <w:rPr/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2</Pages>
  <Words>281</Words>
  <Characters>1915</Characters>
  <CharactersWithSpaces>2127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2025-04-27T19:03:28Z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