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 Technical Details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highlight w:val="white"/>
          <w:u w:val="single"/>
          <w:rtl w:val="0"/>
        </w:rPr>
        <w:t xml:space="preserve">Git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a version control system based on cloud storage where users can access content anywhere at anytime.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highlight w:val="white"/>
          <w:u w:val="single"/>
          <w:rtl w:val="0"/>
        </w:rPr>
        <w:t xml:space="preserve">GitHub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 code hosting platform based on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Git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for version control and collaboration. It lets you and others work together on projects from anywhere.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u w:val="single"/>
          <w:rtl w:val="0"/>
        </w:rPr>
        <w:t xml:space="preserve">Repository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commonly called a “repo” is a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git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file system that keeps track of all changes to all files within a directory.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u w:val="single"/>
          <w:rtl w:val="0"/>
        </w:rPr>
        <w:t xml:space="preserve">Branch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a version of a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repository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that the user can change without changing the master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branch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that will eventually be delivered to the client.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u w:val="single"/>
          <w:rtl w:val="0"/>
        </w:rPr>
        <w:t xml:space="preserve">Clone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when a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repository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is cloned, it is copied to the users local computer so they can contribute to it.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u w:val="single"/>
          <w:rtl w:val="0"/>
        </w:rPr>
        <w:t xml:space="preserve">Checkout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when a user wants to see or make changes to a specific or someone else’s branch, they can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checkout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branch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to maintain the structure of their own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branch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u w:val="single"/>
          <w:rtl w:val="0"/>
        </w:rPr>
        <w:t xml:space="preserve">Add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when a user adds a file to the directory or removes one.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u w:val="single"/>
          <w:rtl w:val="0"/>
        </w:rPr>
        <w:t xml:space="preserve">Commit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when a user adds a file to the local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branch,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but doesn’t push it to the remote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repository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u w:val="single"/>
          <w:rtl w:val="0"/>
        </w:rPr>
        <w:t xml:space="preserve">Push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after a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commit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is made, the user will want other people to see their changes so they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push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it to the remote branch in the cloud.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u w:val="single"/>
          <w:rtl w:val="0"/>
        </w:rPr>
        <w:t xml:space="preserve">Pull request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when the SCRUM master has approved of changes that have been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pushed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to a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branch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, a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pull request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is opened to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merge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these changes to the master branch.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u w:val="single"/>
          <w:rtl w:val="0"/>
        </w:rPr>
        <w:t xml:space="preserve">Merge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When two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branches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have differences or things are being added or removed from them, you can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merge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the branches and choose what contents of each file will remain in the master branch.</w:t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3810000" cy="2857500"/>
            <wp:effectExtent b="25400" l="25400" r="25400" t="254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color w:val="444444"/>
          <w:sz w:val="28"/>
          <w:szCs w:val="28"/>
          <w:highlight w:val="white"/>
        </w:rPr>
      </w:pP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Hello World Guide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git clone [insert URL of your website]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git checkout -b [insert name of your branch you want to create]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*add some files to this directory on your computer*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git add *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git commit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git push origin [insert branch name]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