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A433FFA" wp14:paraId="2CC666D0" wp14:textId="68E4B7E7">
      <w:pPr>
        <w:shd w:val="clear" w:color="auto" w:fill="FFFFFF" w:themeFill="background1"/>
        <w:spacing w:before="240" w:beforeAutospacing="off" w:after="240" w:afterAutospacing="off"/>
      </w:pPr>
      <w:r w:rsidRPr="1A433FFA" w:rsidR="676D6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Senior Vice President, Chief Administration &amp; Human Resources Officer</w:t>
      </w:r>
    </w:p>
    <w:p xmlns:wp14="http://schemas.microsoft.com/office/word/2010/wordml" w:rsidP="1A433FFA" wp14:paraId="1961C7C1" wp14:textId="2CC5B8E3">
      <w:pPr>
        <w:shd w:val="clear" w:color="auto" w:fill="FFFFFF" w:themeFill="background1"/>
        <w:spacing w:before="240" w:beforeAutospacing="off" w:after="240" w:afterAutospacing="off"/>
      </w:pPr>
      <w:r w:rsidRPr="1A433FFA" w:rsidR="676D6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Kathy was appointed Senior Vice President – Chief Human Resources and Administration Officer in 2025. She leads the company’s human resources, administration, and organizational development functions, driving strategic initiatives that foster a high-performance culture and support long-term business growth.</w:t>
      </w:r>
    </w:p>
    <w:p xmlns:wp14="http://schemas.microsoft.com/office/word/2010/wordml" w:rsidP="1A433FFA" wp14:paraId="2C078E63" wp14:textId="2D25CF6D">
      <w:pPr>
        <w:shd w:val="clear" w:color="auto" w:fill="FFFFFF" w:themeFill="background1"/>
        <w:spacing w:before="240" w:beforeAutospacing="off" w:after="240" w:afterAutospacing="off"/>
      </w:pPr>
      <w:r w:rsidRPr="1A433FFA" w:rsidR="676D6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With over 20 years of experience in human resources, Kathy brings deep </w:t>
      </w:r>
      <w:r w:rsidRPr="1A433FFA" w:rsidR="676D6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expertise</w:t>
      </w:r>
      <w:r w:rsidRPr="1A433FFA" w:rsidR="676D6EA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talent management, leadership development, employee engagement, and operational excellence. Her career has been defined by a commitment to building inclusive workplaces, aligning people strategies with business goals, and empowering teams to thrive.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4E4974"/>
    <w:rsid w:val="1A433FFA"/>
    <w:rsid w:val="2F4E4974"/>
    <w:rsid w:val="676D6E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4974"/>
  <w15:chartTrackingRefBased/>
  <w15:docId w15:val="{2095FA78-8E72-4450-A734-93811E3E357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2025-09-29T16:30:02.1852983Z</dcterms:created>
  <dcterms:modified xsi:type="dcterms:W3CDTF">2025-09-29T16:30:22.6292112Z</dcterms:modified>
  <dc:creator>Cristina Fernandez</dc:creator>
  <lastModifiedBy>Cristina Fernandez</lastModifiedBy>
</coreProperties>
</file>