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3C58" w:rsidRPr="005364B3" w:rsidRDefault="008C3C58" w:rsidP="008C3C58">
      <w:pPr>
        <w:jc w:val="center"/>
        <w:rPr>
          <w:rFonts w:asciiTheme="majorHAnsi" w:hAnsiTheme="majorHAnsi" w:cstheme="majorHAnsi"/>
          <w:b/>
          <w:bCs/>
        </w:rPr>
      </w:pPr>
      <w:r w:rsidRPr="008C3C58">
        <w:rPr>
          <w:rFonts w:asciiTheme="majorHAnsi" w:hAnsiTheme="majorHAnsi" w:cstheme="majorHAnsi"/>
          <w:b/>
          <w:bCs/>
        </w:rPr>
        <w:t xml:space="preserve">Model description: Fission-fusion cycles in </w:t>
      </w:r>
      <w:r w:rsidR="005364B3">
        <w:rPr>
          <w:rFonts w:asciiTheme="majorHAnsi" w:hAnsiTheme="majorHAnsi" w:cstheme="majorHAnsi"/>
          <w:b/>
          <w:bCs/>
          <w:i/>
          <w:iCs/>
        </w:rPr>
        <w:t xml:space="preserve">polis </w:t>
      </w:r>
      <w:r w:rsidR="005364B3">
        <w:rPr>
          <w:rFonts w:asciiTheme="majorHAnsi" w:hAnsiTheme="majorHAnsi" w:cstheme="majorHAnsi"/>
          <w:b/>
          <w:bCs/>
        </w:rPr>
        <w:t>formation</w:t>
      </w:r>
    </w:p>
    <w:p w:rsidR="008C3C58" w:rsidRPr="008C3C58" w:rsidRDefault="008C3C58" w:rsidP="008C3C58">
      <w:pPr>
        <w:jc w:val="center"/>
        <w:rPr>
          <w:rFonts w:asciiTheme="majorHAnsi" w:hAnsiTheme="majorHAnsi" w:cstheme="majorHAnsi"/>
          <w:i/>
          <w:iCs/>
        </w:rPr>
      </w:pPr>
      <w:r w:rsidRPr="008C3C58">
        <w:rPr>
          <w:rFonts w:asciiTheme="majorHAnsi" w:hAnsiTheme="majorHAnsi" w:cstheme="majorHAnsi"/>
          <w:i/>
          <w:iCs/>
        </w:rPr>
        <w:t>Dries Daems</w:t>
      </w:r>
      <w:r>
        <w:rPr>
          <w:rFonts w:asciiTheme="majorHAnsi" w:hAnsiTheme="majorHAnsi" w:cstheme="majorHAnsi"/>
          <w:i/>
          <w:iCs/>
        </w:rPr>
        <w:t xml:space="preserve"> (University of Leuven)</w:t>
      </w:r>
    </w:p>
    <w:p w:rsidR="008C3C58" w:rsidRPr="008C3C58" w:rsidRDefault="008C3C58" w:rsidP="008C3C58">
      <w:pPr>
        <w:pStyle w:val="ListParagraph"/>
        <w:numPr>
          <w:ilvl w:val="0"/>
          <w:numId w:val="1"/>
        </w:numPr>
        <w:rPr>
          <w:b/>
          <w:bCs/>
        </w:rPr>
      </w:pPr>
      <w:r w:rsidRPr="008C3C58">
        <w:rPr>
          <w:b/>
          <w:bCs/>
        </w:rPr>
        <w:t>Research context and question</w:t>
      </w:r>
      <w:r>
        <w:rPr>
          <w:b/>
          <w:bCs/>
        </w:rPr>
        <w:t>s</w:t>
      </w:r>
    </w:p>
    <w:p w:rsidR="005364B3" w:rsidRDefault="005364B3" w:rsidP="005364B3">
      <w:pPr>
        <w:jc w:val="both"/>
      </w:pPr>
      <w:r>
        <w:t xml:space="preserve">Communities form the backbone of society and provide crucial loci of social life. One of the most important forms of community in antiquity was the </w:t>
      </w:r>
      <w:r w:rsidRPr="005364B3">
        <w:rPr>
          <w:i/>
          <w:iCs/>
        </w:rPr>
        <w:t>polis</w:t>
      </w:r>
      <w:r>
        <w:t xml:space="preserve">, characterised as a civic and urban community. </w:t>
      </w:r>
      <w:r>
        <w:t xml:space="preserve">One important model of </w:t>
      </w:r>
      <w:r>
        <w:rPr>
          <w:i/>
          <w:iCs/>
        </w:rPr>
        <w:t xml:space="preserve">polis </w:t>
      </w:r>
      <w:r>
        <w:t xml:space="preserve">formation was developed by John </w:t>
      </w:r>
      <w:proofErr w:type="spellStart"/>
      <w:r>
        <w:t>Bintliff</w:t>
      </w:r>
      <w:proofErr w:type="spellEnd"/>
      <w:r>
        <w:t xml:space="preserve"> for the region of Boeotia (Greece) </w:t>
      </w:r>
      <w:r w:rsidRPr="005364B3">
        <w:t>from Iron Age to Helle</w:t>
      </w:r>
      <w:bookmarkStart w:id="0" w:name="_GoBack"/>
      <w:bookmarkEnd w:id="0"/>
      <w:r w:rsidRPr="005364B3">
        <w:t>nistic times (ca. 1000-31 BCE)</w:t>
      </w:r>
      <w:r>
        <w:t xml:space="preserve">. The model showed how larger </w:t>
      </w:r>
      <w:r>
        <w:rPr>
          <w:i/>
          <w:iCs/>
        </w:rPr>
        <w:t>polis</w:t>
      </w:r>
      <w:r>
        <w:t xml:space="preserve"> communities emerged out of village communities through fission-fusion dynamics </w:t>
      </w:r>
      <w:r>
        <w:fldChar w:fldCharType="begin"/>
      </w:r>
      <w:r>
        <w:instrText xml:space="preserve"> ADDIN ZOTERO_ITEM CSL_CITATION {"citationID":"cVpXUoZz","properties":{"formattedCitation":"(Bintliff, 2012)","plainCitation":"(Bintliff, 2012)","noteIndex":0},"citationItems":[{"id":310,"uris":["http://zotero.org/users/2109754/items/WEQAIRPG"],"uri":["http://zotero.org/users/2109754/items/WEQAIRPG"],"itemData":{"id":310,"type":"book","abstract":"pdf","ISBN":"978-1-4051-5419-2","language":"eng","number-of-pages":"518","publisher":"Chichester Wiley","source":"Primo","title":"The complete archaeology of Greece: from hunter-gatherers to the 20th century AD","title-short":"The complete archaeology of Greece","author":[{"family":"Bintliff","given":"J."}],"issued":{"date-parts":[["2012"]]}}}],"schema":"https://github.com/citation-style-language/schema/raw/master/csl-citation.json"} </w:instrText>
      </w:r>
      <w:r>
        <w:fldChar w:fldCharType="separate"/>
      </w:r>
      <w:r w:rsidRPr="005364B3">
        <w:rPr>
          <w:rFonts w:ascii="Calibri" w:hAnsi="Calibri" w:cs="Calibri"/>
        </w:rPr>
        <w:t>(</w:t>
      </w:r>
      <w:proofErr w:type="spellStart"/>
      <w:r w:rsidRPr="005364B3">
        <w:rPr>
          <w:rFonts w:ascii="Calibri" w:hAnsi="Calibri" w:cs="Calibri"/>
        </w:rPr>
        <w:t>Bintliff</w:t>
      </w:r>
      <w:proofErr w:type="spellEnd"/>
      <w:r w:rsidRPr="005364B3">
        <w:rPr>
          <w:rFonts w:ascii="Calibri" w:hAnsi="Calibri" w:cs="Calibri"/>
        </w:rPr>
        <w:t>, 2012)</w:t>
      </w:r>
      <w:r>
        <w:fldChar w:fldCharType="end"/>
      </w:r>
      <w:r>
        <w:t>. Driven by a moderate process of population growth, a small number of small-scale communities developed into sizeable villages in Iron Age times.</w:t>
      </w:r>
      <w:r w:rsidR="00017D59">
        <w:t xml:space="preserve"> As communities grew, they reached scalar thresholds in community sizes imposed by cognitive limits to information processing </w:t>
      </w:r>
      <w:r w:rsidR="00017D59">
        <w:fldChar w:fldCharType="begin"/>
      </w:r>
      <w:r w:rsidR="00017D59">
        <w:instrText xml:space="preserve"> ADDIN ZOTERO_ITEM CSL_CITATION {"citationID":"8FvPls1K","properties":{"formattedCitation":"(Wobst, 1974)","plainCitation":"(Wobst, 1974)","noteIndex":0},"citationItems":[{"id":2901,"uris":["http://zotero.org/users/2109754/items/4IETWC7Z"],"uri":["http://zotero.org/users/2109754/items/4IETWC7Z"],"itemData":{"id":2901,"type":"article-journal","abstract":"Pleistocene societies are viewed in this paper as manifestations of band society from which Paleolithic archaeologists can generate hypotheses about this cultural system and against which they can evaluate the validity of general cultural explanations. A general model is posited toward the isolation of Paleolithic societies in the archaeological record. Their numerical size is predicted from Monte Carlo simulations of model populations, and ways are discussed in which distinguishable equilibrium states of such societies can be predicted in time and space. Under the assumption of maximal constraints, simulations are used to predict the size and longevity of social units. The frequency of settlements produced during an equilibrium state of a society is simulated and the utility of survey for activity areas outside the settlements is demonstrated. The models developed in this paper are intended to stimulate deductive research in Paleolithic archaeology.","container-title":"American Antiquity","DOI":"10.2307/279579","ISSN":"0002-7316","issue":"2","page":"147-178","source":"JSTOR","title":"Boundary Conditions for Paleolithic Social Systems: A Simulation Approach","title-short":"Boundary Conditions for Paleolithic Social Systems","volume":"39","author":[{"family":"Wobst","given":"H. Martin"}],"issued":{"date-parts":[["1974"]]}}}],"schema":"https://github.com/citation-style-language/schema/raw/master/csl-citation.json"} </w:instrText>
      </w:r>
      <w:r w:rsidR="00017D59">
        <w:fldChar w:fldCharType="separate"/>
      </w:r>
      <w:r w:rsidR="00017D59" w:rsidRPr="00017D59">
        <w:rPr>
          <w:rFonts w:ascii="Calibri" w:hAnsi="Calibri" w:cs="Calibri"/>
        </w:rPr>
        <w:t>(</w:t>
      </w:r>
      <w:proofErr w:type="spellStart"/>
      <w:r w:rsidR="00017D59" w:rsidRPr="00017D59">
        <w:rPr>
          <w:rFonts w:ascii="Calibri" w:hAnsi="Calibri" w:cs="Calibri"/>
        </w:rPr>
        <w:t>Wobst</w:t>
      </w:r>
      <w:proofErr w:type="spellEnd"/>
      <w:r w:rsidR="00017D59" w:rsidRPr="00017D59">
        <w:rPr>
          <w:rFonts w:ascii="Calibri" w:hAnsi="Calibri" w:cs="Calibri"/>
        </w:rPr>
        <w:t>, 1974)</w:t>
      </w:r>
      <w:r w:rsidR="00017D59">
        <w:fldChar w:fldCharType="end"/>
      </w:r>
      <w:r w:rsidR="00017D59">
        <w:t xml:space="preserve">. In order to overcome these thresholds, communities had to develop additional social structures to regulate social life and transpose individual information processing to collective processing through social organisation. This development eventually initiated a pathway towards </w:t>
      </w:r>
      <w:r w:rsidR="00017D59">
        <w:rPr>
          <w:i/>
          <w:iCs/>
        </w:rPr>
        <w:t>polis</w:t>
      </w:r>
      <w:r w:rsidR="00017D59">
        <w:t xml:space="preserve"> formation, where communities obtained an urban and political character.</w:t>
      </w:r>
    </w:p>
    <w:p w:rsidR="00017D59" w:rsidRDefault="00017D59" w:rsidP="00017D59">
      <w:pPr>
        <w:jc w:val="both"/>
      </w:pPr>
      <w:r>
        <w:t>A different body of work developed in s</w:t>
      </w:r>
      <w:r>
        <w:t>ettlement scaling studies</w:t>
      </w:r>
      <w:r>
        <w:t>,</w:t>
      </w:r>
      <w:r>
        <w:t xml:space="preserve"> </w:t>
      </w:r>
      <w:r>
        <w:t>has</w:t>
      </w:r>
      <w:r>
        <w:t xml:space="preserve"> shown that communities can be considered as social reactors, meaning that they amplify the increasing returns of social interaction </w:t>
      </w:r>
      <w:r>
        <w:t xml:space="preserve">through energized crowding </w:t>
      </w:r>
      <w:r>
        <w:fldChar w:fldCharType="begin"/>
      </w:r>
      <w:r>
        <w:instrText xml:space="preserve"> ADDIN ZOTERO_ITEM CSL_CITATION {"citationID":"lXCXuLZi","properties":{"formattedCitation":"(Bettencourt, 2013; Bettencourt, Lobo, &amp; Strumsky, 2007)","plainCitation":"(Bettencourt, 2013; Bettencourt, Lobo, &amp; Strumsky, 2007)","noteIndex":0},"citationItems":[{"id":1917,"uris":["http://zotero.org/users/2109754/items/NLRQ4Q7I"],"uri":["http://zotero.org/users/2109754/items/NLRQ4Q7I"],"itemData":{"id":1917,"type":"article-journal","title":"The Origins of Scaling in Cities","container-title":"Science","page":"1438-1441","volume":"340","issue":"6139","source":"science.sciencemag.org","abstract":"The Equations Underlying Cities\nCities are complex systems of which functioning depends upon many social, economic, and environmental factors. Bettencourt (p. 1438; see the cover; see the Perspective by Batty) developed a theory to explain the quantitative relationships observed between various aspects of cities and population size or land area.\nDespite the increasing importance of cities in human societies, our ability to understand them scientifically and manage them in practice has remained limited. The greatest difficulties to any scientific approach to cities have resulted from their many interdependent facets, as social, economic, infrastructural, and spatial complex systems that exist in similar but changing forms over a huge range of scales. Here, I show how all cities may evolve according to a small set of basic principles that operate locally. A theoretical framework was developed to predict the average social, spatial, and infrastructural properties of cities as a set of scaling relations that apply to all urban systems. Confirmation of these predictions was observed for thousands of cities worldwide, from many urban systems at different levels of development. Measures of urban efficiency, capturing the balance between socioeconomic outputs and infrastructural costs, were shown to be independent of city size and might be a useful means to evaluate urban planning strategies.\nCities of all sizes can be modeled as interdependent networks of interactions and infrastructure. [Also see Perspective by Batty]\nCities of all sizes can be modeled as interdependent networks of interactions and infrastructure. [Also see Perspective by Batty]","DOI":"10.1126/science.1235823","ISSN":"0036-8075, 1095-9203","note":"PMID: 23788793","language":"en","author":[{"family":"Bettencourt","given":"Luis"}],"issued":{"date-parts":[["2013"]]}},"label":"page"},{"id":2162,"uris":["http://zotero.org/users/2109754/items/E8Q4HYFS"],"uri":["http://zotero.org/users/2109754/items/E8Q4HYFS"],"itemData":{"id":2162,"type":"article-journal","title":"Invention in the city: Increasing returns to patenting as a scaling function of metropolitan size","container-title":"Research Policy","page":"107-120","volume":"36","issue":"1","source":"ScienceDirect","abstract":"We investigate the relationship between patenting activity and the population size of metropolitan areas in the United States over the last two decades (1980–2001). We find a clear superlinear effect, whereby new patents are granted disproportionately in larger urban centers, thus showing increasing returns in inventing activity with respect to population size. We characterize this relation quantitatively as a power law with an exponent larger than unity. This phenomenon is commensurate with the presence of larger numbers of inventors in larger metropolitan areas, which we find follows a quantitatively similar superlinear relationship to population, while the productivity of individual inventors stays essentially constant across metropolitan areas. We also find that structural measures of the patent co-authorship network although weakly correlated to increasing rates of patenting, are not enough to explain them. Finally, we show that R&amp;D establishments and employment in other creative professions also follow superlinear scaling relations to metropolitan population size, albeit possibly with different exponents.","DOI":"10.1016/j.respol.2006.09.026","ISSN":"0048-7333","title-short":"Invention in the city","journalAbbreviation":"Research Policy","author":[{"family":"Bettencourt","given":"Luis"},{"family":"Lobo","given":"José"},{"family":"Strumsky","given":"Deborah"}],"issued":{"date-parts":[["2007"]]}},"label":"page"}],"schema":"https://github.com/citation-style-language/schema/raw/master/csl-citation.json"} </w:instrText>
      </w:r>
      <w:r>
        <w:fldChar w:fldCharType="separate"/>
      </w:r>
      <w:r w:rsidRPr="00AF5F5D">
        <w:rPr>
          <w:rFonts w:ascii="Calibri" w:hAnsi="Calibri" w:cs="Calibri"/>
        </w:rPr>
        <w:t xml:space="preserve">(Bettencourt, 2013; Bettencourt, Lobo, &amp; </w:t>
      </w:r>
      <w:proofErr w:type="spellStart"/>
      <w:r w:rsidRPr="00AF5F5D">
        <w:rPr>
          <w:rFonts w:ascii="Calibri" w:hAnsi="Calibri" w:cs="Calibri"/>
        </w:rPr>
        <w:t>Strumsky</w:t>
      </w:r>
      <w:proofErr w:type="spellEnd"/>
      <w:r w:rsidRPr="00AF5F5D">
        <w:rPr>
          <w:rFonts w:ascii="Calibri" w:hAnsi="Calibri" w:cs="Calibri"/>
        </w:rPr>
        <w:t>, 2007)</w:t>
      </w:r>
      <w:r>
        <w:fldChar w:fldCharType="end"/>
      </w:r>
      <w:r>
        <w:t>. The effects of these interactions can be both positive and negative</w:t>
      </w:r>
      <w:r>
        <w:t>,</w:t>
      </w:r>
      <w:r>
        <w:t xml:space="preserve"> resulting in community formation and socio-economic growth (growing communities) on the one hand, and scalar stress </w:t>
      </w:r>
      <w:r>
        <w:t xml:space="preserve">(splitting communities) </w:t>
      </w:r>
      <w:r>
        <w:t xml:space="preserve">on the other </w:t>
      </w:r>
      <w:r>
        <w:fldChar w:fldCharType="begin"/>
      </w:r>
      <w:r>
        <w:instrText xml:space="preserve"> ADDIN ZOTERO_ITEM CSL_CITATION {"citationID":"4Kol9e0E","properties":{"formattedCitation":"(Smith, 2019)","plainCitation":"(Smith, 2019)","noteIndex":0},"citationItems":[{"id":4609,"uris":["http://zotero.org/users/2109754/items/F666C6BS"],"uri":["http://zotero.org/users/2109754/items/F666C6BS"],"itemData":{"id":4609,"type":"chapter","title":"Energized Crowding and the Generative Role of Settlement Aggregation and Urbanization","container-title":"Coming Together: Comparative Approaches to Population Aggregation and Early Urbanization","publisher":"State University of New York Press","publisher-place":"New York","page":"37-58","event-place":"New York","author":[{"family":"Smith","given":"Michael"}],"editor":[{"family":"Gyucha","given":"A."}],"issued":{"date-parts":[["2019"]]}}}],"schema":"https://github.com/citation-style-language/schema/raw/master/csl-citation.json"} </w:instrText>
      </w:r>
      <w:r>
        <w:fldChar w:fldCharType="separate"/>
      </w:r>
      <w:r w:rsidRPr="00AF5F5D">
        <w:rPr>
          <w:rFonts w:ascii="Calibri" w:hAnsi="Calibri" w:cs="Calibri"/>
        </w:rPr>
        <w:t>(Smith, 2019)</w:t>
      </w:r>
      <w:r>
        <w:fldChar w:fldCharType="end"/>
      </w:r>
      <w:r>
        <w:t xml:space="preserve">. </w:t>
      </w:r>
      <w:r>
        <w:t xml:space="preserve">This field therefore provides a micro-level (intra-community) explanation of meso-level (inter-community) effects characterised by fission-fusion cycles </w:t>
      </w:r>
      <w:r>
        <w:fldChar w:fldCharType="begin"/>
      </w:r>
      <w:r>
        <w:instrText xml:space="preserve"> ADDIN ZOTERO_ITEM CSL_CITATION {"citationID":"H84DSunn","properties":{"formattedCitation":"(Crema, 2014; Griffin, 2011)","plainCitation":"(Crema, 2014; Griffin, 2011)","noteIndex":0},"citationItems":[{"id":2275,"uris":["http://zotero.org/users/2109754/items/Y9N2CN95"],"uri":["http://zotero.org/users/2109754/items/Y9N2CN95"],"itemData":{"id":2275,"type":"article-journal","title":"A Simulation Model of Fission–Fusion Dynamics and Long-Term Settlement Change","container-title":"Journal of Archaeological Method and Theory","page":"385-404","volume":"21","issue":"2","source":"link.springer.com","abstract":"Archaeological analyses often detect abrupt changes over time in the hierarchy of settlement sizes and the spatial distribution of residential units. These transformations have been explained looking at a variety of possible causes, from climatic changes to the sudden release of slowly cumulating political tensions. While many of these models offer plausible explanations for specific historical contexts, a broad-breadth model is desirable if cross-cultural analysis is sought. This paper tackles this problem by starting from the theoretical proposition that human groups are characterised by a non-linear relationship between size and per-capita fitness. Increasing group size has beneficial effects, but once a certain threshold is exceeded, negative frequency dependence will start to predominate leading to a decline in the per-capita fitness. Such a relationship can potentially have long-term implications in the spatial structure of human settlements if individuals have the possibility to modify their fitness through group fission–fusion dynamics. I will illustrate the equilibrium properties of these dynamics by means of an abstract agent-based simulation and discuss its implication for understanding long-term changes in human settlement pattern. Results suggest that changes in settlement pattern can originate from internal dynamics alone if the system is highly integrated and interconnected.","DOI":"10.1007/s10816-013-9185-4","ISSN":"1072-5369, 1573-7764","journalAbbreviation":"J Archaeol Method Theory","language":"en","author":[{"family":"Crema","given":"Enrico R."}],"issued":{"date-parts":[["2014",6,1]]}},"label":"page"},{"id":547,"uris":["http://zotero.org/users/2109754/items/SAQFMMF4"],"uri":["http://zotero.org/users/2109754/items/SAQFMMF4"],"itemData":{"id":547,"type":"article-journal","title":"Emergence of fusion/fission cycling and self-organized criticality from a simulation model of early complex polities","container-title":"Journal of Archaeological Science","page":"873-883","volume":"38","issue":"4","source":"CrossRef","abstract":"pdf + nota","DOI":"10.1016/j.jas.2010.11.017","ISSN":"03054403","author":[{"family":"Griffin","given":"Arthur F."}],"issued":{"date-parts":[["2011",4]]}},"label":"page"}],"schema":"https://github.com/citation-style-language/schema/raw/master/csl-citation.json"} </w:instrText>
      </w:r>
      <w:r>
        <w:fldChar w:fldCharType="separate"/>
      </w:r>
      <w:r w:rsidRPr="00AF5F5D">
        <w:rPr>
          <w:rFonts w:ascii="Calibri" w:hAnsi="Calibri" w:cs="Calibri"/>
        </w:rPr>
        <w:t>(Crema, 2014; Griffin, 2011)</w:t>
      </w:r>
      <w:r>
        <w:fldChar w:fldCharType="end"/>
      </w:r>
      <w:r>
        <w:t>.</w:t>
      </w:r>
    </w:p>
    <w:p w:rsidR="0024246A" w:rsidRDefault="00017D59" w:rsidP="00017D59">
      <w:pPr>
        <w:jc w:val="both"/>
      </w:pPr>
      <w:r>
        <w:t xml:space="preserve">The original goal of this model was to </w:t>
      </w:r>
      <w:r>
        <w:t xml:space="preserve">investigate the manifestation of energized crowding processes in settlement patterns through </w:t>
      </w:r>
      <w:r>
        <w:t>fission</w:t>
      </w:r>
      <w:r>
        <w:t>-</w:t>
      </w:r>
      <w:r>
        <w:t>fusion</w:t>
      </w:r>
      <w:r>
        <w:t xml:space="preserve"> dynamics. </w:t>
      </w:r>
      <w:r>
        <w:t xml:space="preserve">By simulating processes of interaction within communities and </w:t>
      </w:r>
      <w:r w:rsidR="0024246A">
        <w:t xml:space="preserve">the effects of information transmission on a community level, through the implementation of innovation and scalar stress, it would explore the underlying drivers of community fission and fusion. In the end, within the framework of this exercise, this turned out to be too much to include all at once. I therefore decided to focus on the modelling of fission-fusion cycles in settlement patterns, as well providing a potential implementation of an interaction module. However, these two components are not yet integrated in the current version. That is, interactions, information transmission and innovation do not directly drive the patterns of community fission and fusion. A tentative scheme for integration was tried, but considered too artificial. I therefore decided to </w:t>
      </w:r>
      <w:r w:rsidR="00E34589">
        <w:t>leave this part</w:t>
      </w:r>
      <w:r w:rsidR="0024246A">
        <w:t xml:space="preserve"> out and reserve </w:t>
      </w:r>
      <w:r w:rsidR="00E34589">
        <w:t>the</w:t>
      </w:r>
      <w:r w:rsidR="0024246A">
        <w:t xml:space="preserve"> integration for a later stage as I continue the development of the model beyond this course.</w:t>
      </w:r>
    </w:p>
    <w:p w:rsidR="00E34589" w:rsidRDefault="0024246A" w:rsidP="005364B3">
      <w:pPr>
        <w:jc w:val="both"/>
      </w:pPr>
      <w:r>
        <w:t>In the current model, it is interesting to explore how different thresholds for fission and fusion probability, as well as smaller or larger community territories have an effect on fission-fusion cycles and the manifestation of settlement patterns.</w:t>
      </w:r>
      <w:r w:rsidR="00736F52">
        <w:t xml:space="preserve"> It is moreover interesting to explore the interplay between villages and </w:t>
      </w:r>
      <w:r w:rsidR="00736F52">
        <w:rPr>
          <w:i/>
          <w:iCs/>
        </w:rPr>
        <w:t>poleis</w:t>
      </w:r>
      <w:r w:rsidR="00736F52">
        <w:t xml:space="preserve"> and their respective impact on the settlement network</w:t>
      </w:r>
      <w:r w:rsidR="00E34589">
        <w:t>, and the impact of different scalar thresholds on settlement size distributions.</w:t>
      </w:r>
    </w:p>
    <w:p w:rsidR="00736F52" w:rsidRPr="00736F52" w:rsidRDefault="00736F52" w:rsidP="00736F52">
      <w:pPr>
        <w:pStyle w:val="ListParagraph"/>
        <w:numPr>
          <w:ilvl w:val="0"/>
          <w:numId w:val="1"/>
        </w:numPr>
        <w:jc w:val="both"/>
        <w:rPr>
          <w:b/>
          <w:bCs/>
        </w:rPr>
      </w:pPr>
      <w:r>
        <w:rPr>
          <w:b/>
          <w:bCs/>
        </w:rPr>
        <w:t>Description of experiment design</w:t>
      </w:r>
    </w:p>
    <w:p w:rsidR="00F67477" w:rsidRDefault="00F67477" w:rsidP="005364B3">
      <w:r>
        <w:t xml:space="preserve">For description of experiment, see </w:t>
      </w:r>
      <w:proofErr w:type="spellStart"/>
      <w:r>
        <w:t>BehaviorSpace</w:t>
      </w:r>
      <w:proofErr w:type="spellEnd"/>
      <w:r>
        <w:t xml:space="preserve"> experiment “</w:t>
      </w:r>
      <w:r w:rsidRPr="00F67477">
        <w:rPr>
          <w:i/>
          <w:iCs/>
        </w:rPr>
        <w:t>Submission-experiment</w:t>
      </w:r>
      <w:r>
        <w:t>”.</w:t>
      </w:r>
    </w:p>
    <w:p w:rsidR="00F67477" w:rsidRPr="00F67477" w:rsidRDefault="00F67477" w:rsidP="00F67477">
      <w:pPr>
        <w:pStyle w:val="ListParagraph"/>
        <w:numPr>
          <w:ilvl w:val="0"/>
          <w:numId w:val="1"/>
        </w:numPr>
        <w:rPr>
          <w:b/>
          <w:bCs/>
        </w:rPr>
      </w:pPr>
      <w:r>
        <w:rPr>
          <w:b/>
          <w:bCs/>
        </w:rPr>
        <w:t>Discussion simulation results</w:t>
      </w:r>
    </w:p>
    <w:p w:rsidR="00F67477" w:rsidRPr="00F67477" w:rsidRDefault="00F67477" w:rsidP="00F67477">
      <w:pPr>
        <w:ind w:left="360"/>
      </w:pPr>
      <w:r>
        <w:lastRenderedPageBreak/>
        <w:t xml:space="preserve">Due to time constraints, no systematic model analysis could be conducted. However, during coding and testing of the code, interesting behaviour could be observed in the interactions between villages and polis communities, and the interplay between settlements. It is my intention to continue working on this model in the future beyond this course, and I promise that as soon as I am able to properly analyse the results, I will share these with the instructors. </w:t>
      </w:r>
    </w:p>
    <w:p w:rsidR="00F67477" w:rsidRPr="008C3C58" w:rsidRDefault="00F67477" w:rsidP="005364B3"/>
    <w:sectPr w:rsidR="00F67477" w:rsidRPr="008C3C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altName w:val="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696764"/>
    <w:multiLevelType w:val="hybridMultilevel"/>
    <w:tmpl w:val="63B486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3C58"/>
    <w:rsid w:val="00017D59"/>
    <w:rsid w:val="0024246A"/>
    <w:rsid w:val="005364B3"/>
    <w:rsid w:val="00736F52"/>
    <w:rsid w:val="008C3C58"/>
    <w:rsid w:val="009316B7"/>
    <w:rsid w:val="00E34589"/>
    <w:rsid w:val="00F674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47A69D"/>
  <w15:chartTrackingRefBased/>
  <w15:docId w15:val="{9FCD45CE-40EE-4572-BEEB-E5BB4B92C1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3C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855C6-7C31-4A1F-853B-1EBDCF2A27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TotalTime>
  <Pages>2</Pages>
  <Words>2237</Words>
  <Characters>12752</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Dries Daems</dc:creator>
  <cp:keywords/>
  <dc:description/>
  <cp:lastModifiedBy>Dries Daems</cp:lastModifiedBy>
  <cp:revision>2</cp:revision>
  <dcterms:created xsi:type="dcterms:W3CDTF">2019-12-15T19:32:00Z</dcterms:created>
  <dcterms:modified xsi:type="dcterms:W3CDTF">2019-12-15T23:05:00Z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zotero-version="5.0.80"&gt;&lt;session id="Fh0mmIxl"/&gt;&lt;style id="http://www.zotero.org/styles/apa" locale="en-GB" hasBibliography="1" bibliographyStyleHasBeenSet="0"/&gt;&lt;prefs&gt;&lt;pref name="fieldType" value="Field"/&gt;&lt;/prefs&gt;&lt;/data&gt;</vt:lpwstr>
  </property>
</Properties>
</file>