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66FF05" w14:textId="77777777" w:rsidR="003B1F62" w:rsidRDefault="003B1F62" w:rsidP="003B1F62">
      <w:pPr>
        <w:pStyle w:val="a3"/>
        <w:shd w:val="clear" w:color="auto" w:fill="FFFFFF"/>
        <w:spacing w:before="0" w:beforeAutospacing="0" w:after="0" w:afterAutospacing="0" w:line="620" w:lineRule="atLeast"/>
        <w:jc w:val="center"/>
        <w:rPr>
          <w:rFonts w:ascii="仿宋" w:eastAsia="仿宋" w:hAnsi="仿宋"/>
          <w:color w:val="444444"/>
          <w:sz w:val="36"/>
          <w:szCs w:val="36"/>
        </w:rPr>
      </w:pPr>
      <w:r>
        <w:rPr>
          <w:rFonts w:hint="eastAsia"/>
          <w:b/>
          <w:bCs/>
          <w:color w:val="444444"/>
          <w:sz w:val="44"/>
          <w:szCs w:val="44"/>
        </w:rPr>
        <w:t>国务院安委会办公室关于印发</w:t>
      </w:r>
    </w:p>
    <w:p w14:paraId="50526125" w14:textId="77777777" w:rsidR="003B1F62" w:rsidRDefault="003B1F62" w:rsidP="003B1F62">
      <w:pPr>
        <w:pStyle w:val="a3"/>
        <w:shd w:val="clear" w:color="auto" w:fill="FFFFFF"/>
        <w:spacing w:before="0" w:beforeAutospacing="0" w:after="0" w:afterAutospacing="0" w:line="620" w:lineRule="atLeast"/>
        <w:jc w:val="center"/>
        <w:rPr>
          <w:rFonts w:ascii="仿宋" w:eastAsia="仿宋" w:hAnsi="仿宋" w:hint="eastAsia"/>
          <w:color w:val="444444"/>
          <w:sz w:val="36"/>
          <w:szCs w:val="36"/>
        </w:rPr>
      </w:pPr>
      <w:r>
        <w:rPr>
          <w:rFonts w:hint="eastAsia"/>
          <w:b/>
          <w:bCs/>
          <w:color w:val="444444"/>
          <w:sz w:val="44"/>
          <w:szCs w:val="44"/>
        </w:rPr>
        <w:t>生产安全事故防范和整改措施落实情况</w:t>
      </w:r>
    </w:p>
    <w:p w14:paraId="0365ABE0" w14:textId="77777777" w:rsidR="003B1F62" w:rsidRDefault="003B1F62" w:rsidP="003B1F62">
      <w:pPr>
        <w:pStyle w:val="a3"/>
        <w:shd w:val="clear" w:color="auto" w:fill="FFFFFF"/>
        <w:spacing w:before="0" w:beforeAutospacing="0" w:after="0" w:afterAutospacing="0" w:line="620" w:lineRule="atLeast"/>
        <w:jc w:val="center"/>
        <w:rPr>
          <w:rFonts w:ascii="仿宋" w:eastAsia="仿宋" w:hAnsi="仿宋" w:hint="eastAsia"/>
          <w:color w:val="444444"/>
          <w:sz w:val="36"/>
          <w:szCs w:val="36"/>
        </w:rPr>
      </w:pPr>
      <w:r>
        <w:rPr>
          <w:rFonts w:hint="eastAsia"/>
          <w:b/>
          <w:bCs/>
          <w:color w:val="444444"/>
          <w:sz w:val="44"/>
          <w:szCs w:val="44"/>
        </w:rPr>
        <w:t>评估办法的通知</w:t>
      </w:r>
    </w:p>
    <w:p w14:paraId="6E7F6546" w14:textId="77777777" w:rsidR="003B1F62" w:rsidRDefault="003B1F62" w:rsidP="003B1F62">
      <w:pPr>
        <w:pStyle w:val="a3"/>
        <w:shd w:val="clear" w:color="auto" w:fill="FFFFFF"/>
        <w:spacing w:before="0" w:beforeAutospacing="0" w:after="0" w:afterAutospacing="0" w:line="560" w:lineRule="atLeast"/>
        <w:jc w:val="center"/>
        <w:rPr>
          <w:rFonts w:ascii="仿宋" w:eastAsia="仿宋" w:hAnsi="仿宋" w:hint="eastAsia"/>
          <w:color w:val="444444"/>
          <w:sz w:val="36"/>
          <w:szCs w:val="36"/>
        </w:rPr>
      </w:pPr>
      <w:r>
        <w:rPr>
          <w:rFonts w:hint="eastAsia"/>
          <w:color w:val="444444"/>
          <w:sz w:val="32"/>
          <w:szCs w:val="32"/>
        </w:rPr>
        <w:t>安委办〔2021〕4号</w:t>
      </w:r>
    </w:p>
    <w:p w14:paraId="285D1169" w14:textId="77777777" w:rsidR="003B1F62" w:rsidRDefault="003B1F62" w:rsidP="003B1F62">
      <w:pPr>
        <w:pStyle w:val="a3"/>
        <w:shd w:val="clear" w:color="auto" w:fill="FFFFFF"/>
        <w:spacing w:before="0" w:beforeAutospacing="0" w:after="0" w:afterAutospacing="0" w:line="560" w:lineRule="atLeast"/>
        <w:rPr>
          <w:rFonts w:ascii="仿宋" w:eastAsia="仿宋" w:hAnsi="仿宋" w:hint="eastAsia"/>
          <w:color w:val="444444"/>
          <w:sz w:val="36"/>
          <w:szCs w:val="36"/>
        </w:rPr>
      </w:pPr>
      <w:r>
        <w:rPr>
          <w:rFonts w:hint="eastAsia"/>
          <w:color w:val="444444"/>
          <w:sz w:val="32"/>
          <w:szCs w:val="32"/>
        </w:rPr>
        <w:t> </w:t>
      </w:r>
    </w:p>
    <w:p w14:paraId="1571C10A" w14:textId="77777777" w:rsidR="003B1F62" w:rsidRDefault="003B1F62" w:rsidP="003B1F62">
      <w:pPr>
        <w:pStyle w:val="a3"/>
        <w:shd w:val="clear" w:color="auto" w:fill="FFFFFF"/>
        <w:spacing w:before="0" w:beforeAutospacing="0" w:after="0" w:afterAutospacing="0" w:line="560" w:lineRule="atLeast"/>
        <w:rPr>
          <w:rFonts w:ascii="仿宋" w:eastAsia="仿宋" w:hAnsi="仿宋" w:hint="eastAsia"/>
          <w:color w:val="444444"/>
          <w:sz w:val="36"/>
          <w:szCs w:val="36"/>
        </w:rPr>
      </w:pPr>
      <w:r>
        <w:rPr>
          <w:rFonts w:hint="eastAsia"/>
          <w:color w:val="444444"/>
          <w:sz w:val="32"/>
          <w:szCs w:val="32"/>
        </w:rPr>
        <w:t>各省、自治区、直辖市及新疆生产建设兵团安全生产委员会，国务院安委会有关成员单位：</w:t>
      </w:r>
    </w:p>
    <w:p w14:paraId="48075295" w14:textId="77777777" w:rsidR="003B1F62" w:rsidRDefault="003B1F62" w:rsidP="003B1F62">
      <w:pPr>
        <w:pStyle w:val="a3"/>
        <w:shd w:val="clear" w:color="auto" w:fill="FFFFFF"/>
        <w:spacing w:before="0" w:beforeAutospacing="0" w:after="0" w:afterAutospacing="0" w:line="560" w:lineRule="atLeast"/>
        <w:ind w:firstLine="620"/>
        <w:rPr>
          <w:rFonts w:ascii="仿宋" w:eastAsia="仿宋" w:hAnsi="仿宋" w:hint="eastAsia"/>
          <w:color w:val="444444"/>
          <w:sz w:val="36"/>
          <w:szCs w:val="36"/>
        </w:rPr>
      </w:pPr>
      <w:r>
        <w:rPr>
          <w:rFonts w:hint="eastAsia"/>
          <w:color w:val="444444"/>
          <w:sz w:val="32"/>
          <w:szCs w:val="32"/>
        </w:rPr>
        <w:t>为深入贯彻落实《中共中央 国务院关于推进安全生产领域改革发展的意见》，推动生产安全事故防范和整改措施有效落实，国务院安委会办公室研究制定了《生产安全事故防范和整改措施落实情况评估办法》。现印发你们，请结合实际，认真贯彻落实。</w:t>
      </w:r>
    </w:p>
    <w:p w14:paraId="5BF7EF93" w14:textId="77777777" w:rsidR="003B1F62" w:rsidRDefault="003B1F62" w:rsidP="003B1F62">
      <w:pPr>
        <w:pStyle w:val="a3"/>
        <w:shd w:val="clear" w:color="auto" w:fill="FFFFFF"/>
        <w:spacing w:before="0" w:beforeAutospacing="0" w:after="0" w:afterAutospacing="0" w:line="560" w:lineRule="atLeast"/>
        <w:rPr>
          <w:rFonts w:ascii="仿宋" w:eastAsia="仿宋" w:hAnsi="仿宋" w:hint="eastAsia"/>
          <w:color w:val="444444"/>
          <w:sz w:val="36"/>
          <w:szCs w:val="36"/>
        </w:rPr>
      </w:pPr>
      <w:r>
        <w:rPr>
          <w:rFonts w:hint="eastAsia"/>
          <w:color w:val="444444"/>
          <w:sz w:val="32"/>
          <w:szCs w:val="32"/>
        </w:rPr>
        <w:t> </w:t>
      </w:r>
    </w:p>
    <w:p w14:paraId="51AEC540" w14:textId="77777777" w:rsidR="003B1F62" w:rsidRDefault="003B1F62" w:rsidP="003B1F62">
      <w:pPr>
        <w:pStyle w:val="a3"/>
        <w:shd w:val="clear" w:color="auto" w:fill="FFFFFF"/>
        <w:spacing w:before="0" w:beforeAutospacing="0" w:after="0" w:afterAutospacing="0" w:line="560" w:lineRule="atLeast"/>
        <w:jc w:val="right"/>
        <w:rPr>
          <w:rFonts w:ascii="仿宋" w:eastAsia="仿宋" w:hAnsi="仿宋" w:hint="eastAsia"/>
          <w:color w:val="444444"/>
          <w:sz w:val="36"/>
          <w:szCs w:val="36"/>
        </w:rPr>
      </w:pPr>
      <w:r>
        <w:rPr>
          <w:rFonts w:hint="eastAsia"/>
          <w:color w:val="444444"/>
          <w:sz w:val="32"/>
          <w:szCs w:val="32"/>
        </w:rPr>
        <w:t>                          国务院安委会办公室</w:t>
      </w:r>
    </w:p>
    <w:p w14:paraId="38D202D7" w14:textId="77777777" w:rsidR="003B1F62" w:rsidRDefault="003B1F62" w:rsidP="003B1F62">
      <w:pPr>
        <w:pStyle w:val="a3"/>
        <w:shd w:val="clear" w:color="auto" w:fill="FFFFFF"/>
        <w:spacing w:before="0" w:beforeAutospacing="0" w:after="0" w:afterAutospacing="0" w:line="560" w:lineRule="atLeast"/>
        <w:jc w:val="right"/>
        <w:rPr>
          <w:rFonts w:ascii="仿宋" w:eastAsia="仿宋" w:hAnsi="仿宋" w:hint="eastAsia"/>
          <w:color w:val="444444"/>
          <w:sz w:val="36"/>
          <w:szCs w:val="36"/>
        </w:rPr>
      </w:pPr>
      <w:r>
        <w:rPr>
          <w:rFonts w:hint="eastAsia"/>
          <w:color w:val="444444"/>
          <w:sz w:val="32"/>
          <w:szCs w:val="32"/>
        </w:rPr>
        <w:t>                            2021年3月3日</w:t>
      </w:r>
    </w:p>
    <w:p w14:paraId="6BC3BCBB" w14:textId="77777777" w:rsidR="003B1F62" w:rsidRDefault="003B1F62" w:rsidP="003B1F62">
      <w:pPr>
        <w:pStyle w:val="a3"/>
        <w:shd w:val="clear" w:color="auto" w:fill="FFFFFF"/>
        <w:spacing w:before="0" w:beforeAutospacing="0" w:after="0" w:afterAutospacing="0" w:line="560" w:lineRule="atLeast"/>
        <w:rPr>
          <w:rFonts w:ascii="仿宋" w:eastAsia="仿宋" w:hAnsi="仿宋" w:hint="eastAsia"/>
          <w:color w:val="444444"/>
          <w:sz w:val="36"/>
          <w:szCs w:val="36"/>
        </w:rPr>
      </w:pPr>
      <w:r>
        <w:rPr>
          <w:rFonts w:hint="eastAsia"/>
          <w:color w:val="444444"/>
          <w:sz w:val="36"/>
          <w:szCs w:val="36"/>
        </w:rPr>
        <w:t> </w:t>
      </w:r>
    </w:p>
    <w:p w14:paraId="4F2C4ED7" w14:textId="77777777" w:rsidR="003B1F62" w:rsidRDefault="003B1F62" w:rsidP="003B1F62">
      <w:pPr>
        <w:pStyle w:val="a3"/>
        <w:shd w:val="clear" w:color="auto" w:fill="FFFFFF"/>
        <w:spacing w:before="0" w:beforeAutospacing="0" w:after="0" w:afterAutospacing="0" w:line="560" w:lineRule="atLeast"/>
        <w:rPr>
          <w:rFonts w:ascii="仿宋" w:eastAsia="仿宋" w:hAnsi="仿宋" w:hint="eastAsia"/>
          <w:color w:val="444444"/>
          <w:sz w:val="36"/>
          <w:szCs w:val="36"/>
        </w:rPr>
      </w:pPr>
      <w:r>
        <w:rPr>
          <w:rFonts w:hint="eastAsia"/>
          <w:b/>
          <w:bCs/>
          <w:color w:val="444444"/>
          <w:sz w:val="36"/>
          <w:szCs w:val="36"/>
        </w:rPr>
        <w:t> </w:t>
      </w:r>
    </w:p>
    <w:p w14:paraId="71D96026" w14:textId="77777777" w:rsidR="003B1F62" w:rsidRDefault="003B1F62" w:rsidP="003B1F62">
      <w:pPr>
        <w:pStyle w:val="a3"/>
        <w:shd w:val="clear" w:color="auto" w:fill="FFFFFF"/>
        <w:spacing w:before="0" w:beforeAutospacing="0" w:after="0" w:afterAutospacing="0" w:line="620" w:lineRule="atLeast"/>
        <w:jc w:val="center"/>
        <w:rPr>
          <w:rFonts w:ascii="仿宋" w:eastAsia="仿宋" w:hAnsi="仿宋" w:hint="eastAsia"/>
          <w:color w:val="444444"/>
          <w:sz w:val="36"/>
          <w:szCs w:val="36"/>
        </w:rPr>
      </w:pPr>
      <w:r>
        <w:rPr>
          <w:rFonts w:hint="eastAsia"/>
          <w:b/>
          <w:bCs/>
          <w:color w:val="444444"/>
          <w:sz w:val="44"/>
          <w:szCs w:val="44"/>
        </w:rPr>
        <w:t>生产安全事故防范和整改措施落实情况</w:t>
      </w:r>
    </w:p>
    <w:p w14:paraId="3B4A8E09" w14:textId="77777777" w:rsidR="003B1F62" w:rsidRDefault="003B1F62" w:rsidP="003B1F62">
      <w:pPr>
        <w:pStyle w:val="a3"/>
        <w:shd w:val="clear" w:color="auto" w:fill="FFFFFF"/>
        <w:spacing w:before="0" w:beforeAutospacing="0" w:after="0" w:afterAutospacing="0" w:line="620" w:lineRule="atLeast"/>
        <w:jc w:val="center"/>
        <w:rPr>
          <w:rFonts w:ascii="仿宋" w:eastAsia="仿宋" w:hAnsi="仿宋" w:hint="eastAsia"/>
          <w:color w:val="444444"/>
          <w:sz w:val="36"/>
          <w:szCs w:val="36"/>
        </w:rPr>
      </w:pPr>
      <w:r>
        <w:rPr>
          <w:rFonts w:hint="eastAsia"/>
          <w:b/>
          <w:bCs/>
          <w:color w:val="444444"/>
          <w:sz w:val="44"/>
          <w:szCs w:val="44"/>
        </w:rPr>
        <w:t>评估办法</w:t>
      </w:r>
    </w:p>
    <w:p w14:paraId="3637CF67"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 </w:t>
      </w:r>
    </w:p>
    <w:p w14:paraId="161C7DFC"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lastRenderedPageBreak/>
        <w:t>第一条  为认真贯彻落实党中央、国务院决策部署，充分发挥事故调查处理对加强和改进安全生产工作的促进作用，督促生产安全事故防范和整改措施有效落实，从根本上消除事故隐患、从根本上解决问题，防范生产安全事故发生，保障人民群众生命安全，根据《中华人民共和国安全生产法》《中共中央 国务院关于推进安全生产领域改革发展的意见》等有关规定，制定本办法。</w:t>
      </w:r>
    </w:p>
    <w:p w14:paraId="5E19DEAC"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第二条　生产安全事故调查报告提出的防范和整改措施落实情况的评估工作适用本办法。法律、行政法规另有规定的，从其规定。</w:t>
      </w:r>
    </w:p>
    <w:p w14:paraId="21805A2E"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第三条　事故结案后10个月至1年内，负责事故调查的地方政府和国务院有关部门要组织开展评估，具体工作可以由相应安全生产委员会或安全生产委员会办公室组织实施。</w:t>
      </w:r>
    </w:p>
    <w:p w14:paraId="54106D8D"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第四条　评估工作组原则上由参加事故调查的部门组成，可以邀请相应纪检监察机关按照职责同步开展工作。根据工作需要，可以聘请相关专业技术服务机构或专家参加。</w:t>
      </w:r>
    </w:p>
    <w:p w14:paraId="1547A812"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评估工作跨行政区域的，相关地方应当积极配合并提供有关情况和资料。</w:t>
      </w:r>
    </w:p>
    <w:p w14:paraId="790778F4"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第五条　评估工作组依据生产安全事故调查报告，逐项对照防范和整改措施建议，重点评估以下内容：</w:t>
      </w:r>
    </w:p>
    <w:p w14:paraId="2EB80E3F"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lastRenderedPageBreak/>
        <w:t>（一）事故发生单位、相关企业和有关政府、部门落实事故防范和整改措施采取的具体举措以及工作成效；树牢安全发展理念，健全安全生产责任制，吸取事故教训，举一反三加强安全生产工作情况；</w:t>
      </w:r>
    </w:p>
    <w:p w14:paraId="6607460D"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（二）对事故责任单位和责任人员行政处罚建议等落实情况。</w:t>
      </w:r>
    </w:p>
    <w:p w14:paraId="40173F48"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纪检监察机关参加评估工作的，对有关部门处理意见和有关公职人员责任追究落实情况进行评估。</w:t>
      </w:r>
    </w:p>
    <w:p w14:paraId="56E38FD6"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第六条　现场评估工作方式：</w:t>
      </w:r>
    </w:p>
    <w:p w14:paraId="7311E70C"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（一）资料审查。对照事故调查报告和结案通知要求，对事故涉及的地方政府和有关部门提交的事故防范和整改措施落实情况报告进行核查；</w:t>
      </w:r>
    </w:p>
    <w:p w14:paraId="10D99D31"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（二）座谈问询。了解事故涉及的有关地方政府、相关部门和单位整改工作开展情况；</w:t>
      </w:r>
    </w:p>
    <w:p w14:paraId="07700E96"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（三）查阅文件。对事故整改涉及的有关会议纪要、文件资料、相关文书、财务凭证、人事档案等进行核实；</w:t>
      </w:r>
    </w:p>
    <w:p w14:paraId="70EC434A"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（四）走访核查。赴责任人员单位或羁押场所核查有关情况，赴相关地区和单位、涉事企业、同类企业实地检查整改落实情况。</w:t>
      </w:r>
    </w:p>
    <w:p w14:paraId="32DE73EE"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第七条　评估工作组对现场检查中发现的安全隐患和违法违规问题，应当及时反馈地方政府和有关部门，并提出整改落实建议。</w:t>
      </w:r>
    </w:p>
    <w:p w14:paraId="1B1249A7"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lastRenderedPageBreak/>
        <w:t>第八条　现场评估工作结束后，评估工作组要形成评估报告。评估报告主要内容应当包括评估工作过程、总体评估意见、事故防范和整改措施落实情况、评估发现的主要问题和相关工作建议等，并附问题清单、工作建议清单以及经验做法清单。评估报告起草过程中，应当充分听取参加评估工作组的有关部门意见。</w:t>
      </w:r>
    </w:p>
    <w:p w14:paraId="27A05D7E"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第九条  评估工作组按程序向组织开展事故防范和整改措施落实情况评估工作的地方政府或国务院有关部门提交评估报告。</w:t>
      </w:r>
    </w:p>
    <w:p w14:paraId="4E2F6BBC"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第十条  组织评估工作的地方政府应当依据评估报告，向有关地区和部门反馈评估情况，并将评估报告报送上一级安全生产委员会办公室备案。评估工作由国务院有关部门组织开展的，评估报告要抄报国务院安委会办公室。</w:t>
      </w:r>
    </w:p>
    <w:p w14:paraId="0C44F7A6"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特别重大事故的评估报告，由国务院安委会办公室报送国务院安全生产委员会，并向相关省级安全生产委员会反馈。</w:t>
      </w:r>
    </w:p>
    <w:p w14:paraId="4CDD4171"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第十一条　组织评估工作的地方政府或国务院有关部门对发现问题的处理：</w:t>
      </w:r>
    </w:p>
    <w:p w14:paraId="5F247759"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（一）发现事故防范和整改措施未落实、落实不到位或存在其他问题的，应当向相关地方政府和部门交办整改工作任务并持续跟踪、督促整改；</w:t>
      </w:r>
    </w:p>
    <w:p w14:paraId="15036F5F"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lastRenderedPageBreak/>
        <w:t>（二）对重大问题悬而不决、重大风险隐患久拖不改，涉嫌失职渎职的，依法依规移交地方党委政府和纪检监察机关严肃追责问责；</w:t>
      </w:r>
    </w:p>
    <w:p w14:paraId="3FD4416A" w14:textId="77777777" w:rsidR="003B1F62" w:rsidRDefault="003B1F62" w:rsidP="003B1F62">
      <w:pPr>
        <w:pStyle w:val="a3"/>
        <w:shd w:val="clear" w:color="auto" w:fill="FFFFFF"/>
        <w:spacing w:before="0" w:beforeAutospacing="0" w:after="0" w:afterAutospacing="0" w:line="560" w:lineRule="atLeast"/>
        <w:ind w:firstLine="620"/>
        <w:jc w:val="both"/>
        <w:rPr>
          <w:rFonts w:ascii="仿宋" w:eastAsia="仿宋" w:hAnsi="仿宋" w:hint="eastAsia"/>
          <w:color w:val="444444"/>
          <w:sz w:val="36"/>
          <w:szCs w:val="36"/>
        </w:rPr>
      </w:pPr>
      <w:r>
        <w:rPr>
          <w:rFonts w:hint="eastAsia"/>
          <w:color w:val="444444"/>
          <w:sz w:val="32"/>
          <w:szCs w:val="32"/>
        </w:rPr>
        <w:t>（三）发现对有关公职人员处理意见不落实以及追究刑事责任工作明显滞后的，向地方党委和相应纪检监察机关、人民法院和人民检察院通报情况，商请督促落实。</w:t>
      </w:r>
    </w:p>
    <w:p w14:paraId="4CDE584C"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第十二条　评估报告应当通过媒体或以政府信息公开方式及时向社会全文公开发布，接受社会监督。</w:t>
      </w:r>
    </w:p>
    <w:p w14:paraId="08EE3ED1"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第十三条  各省级安全生产委员会以及法律法规规定的省级以上事故调查牵头部门可以根据本办法制定相应细化规定。</w:t>
      </w:r>
    </w:p>
    <w:p w14:paraId="36EC9E49" w14:textId="77777777" w:rsidR="003B1F62" w:rsidRDefault="003B1F62" w:rsidP="003B1F62">
      <w:pPr>
        <w:pStyle w:val="a3"/>
        <w:shd w:val="clear" w:color="auto" w:fill="FFFFFF"/>
        <w:spacing w:before="0" w:beforeAutospacing="0" w:after="0" w:afterAutospacing="0" w:line="560" w:lineRule="atLeast"/>
        <w:ind w:firstLine="640"/>
        <w:jc w:val="both"/>
        <w:rPr>
          <w:rFonts w:ascii="仿宋" w:eastAsia="仿宋" w:hAnsi="仿宋" w:hint="eastAsia"/>
          <w:color w:val="444444"/>
          <w:sz w:val="36"/>
          <w:szCs w:val="36"/>
        </w:rPr>
      </w:pPr>
      <w:r>
        <w:rPr>
          <w:rFonts w:hint="eastAsia"/>
          <w:color w:val="444444"/>
          <w:sz w:val="32"/>
          <w:szCs w:val="32"/>
        </w:rPr>
        <w:t>第十四条  本办法自印发之日起施行。</w:t>
      </w:r>
    </w:p>
    <w:p w14:paraId="5F12A355"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F62"/>
    <w:rsid w:val="000021A5"/>
    <w:rsid w:val="00184C64"/>
    <w:rsid w:val="001F1BEA"/>
    <w:rsid w:val="003B1F62"/>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ADDE"/>
  <w15:chartTrackingRefBased/>
  <w15:docId w15:val="{3B27248F-1F08-4259-A265-F1CF35FB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B1F6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689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2026-07-23T06:11:00Z</dcterms:created>
  <dcterms:modified xsi:type="dcterms:W3CDTF">2026-07-23T06:11:00Z</dcterms:modified>
</cp:coreProperties>
</file>