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2A37"/>
          <w:sz w:val="44"/>
        </w:rPr>
        <w:t>Numin — Acquisition Offer Proposal</w:t>
      </w:r>
    </w:p>
    <w:p>
      <w:pPr>
        <w:spacing w:after="120"/>
      </w:pPr>
      <w:r>
        <w:rPr>
          <w:color w:val="6B7178"/>
          <w:sz w:val="21"/>
        </w:rPr>
        <w:t>Two offers · how each works · unit-economic forecast  —  June 2026</w:t>
      </w:r>
    </w:p>
    <w:p>
      <w:pPr>
        <w:spacing w:after="160"/>
        <w:pBdr>
          <w:bottom w:val="single" w:sz="6" w:space="1" w:color="C4C9CE"/>
        </w:pBdr>
      </w:pPr>
    </w:p>
    <w:p>
      <w:pPr>
        <w:spacing w:before="280" w:after="80"/>
      </w:pPr>
      <w:r>
        <w:rPr>
          <w:b/>
          <w:color w:val="1F2A37"/>
          <w:sz w:val="29"/>
        </w:rPr>
        <w:t>Background</w:t>
      </w:r>
    </w:p>
    <w:p>
      <w:pPr>
        <w:spacing w:after="120"/>
      </w:pPr>
      <w:r>
        <w:rPr>
          <w:i w:val="0"/>
          <w:sz w:val="22"/>
        </w:rPr>
        <w:t>Our cost of goods has dropped from ~90% to ~50% of the subscription price. That one change makes two acquisition offers viable that didn’t pencil before — an email-gated discount we’ve run successfully here, and a $1 trial that is new to Numin but proven at a comparable brand, where it drove very high email volume. Meanwhile our email capture has fallen since the site and price change (opt-in 6.2% → 2.7%, ~750 → ~350 new emails per month), so we need a stronger offer back in market.</w:t>
      </w:r>
    </w:p>
    <w:p>
      <w:pPr>
        <w:spacing w:before="280" w:after="80"/>
      </w:pPr>
      <w:r>
        <w:rPr>
          <w:b/>
          <w:color w:val="1F2A37"/>
          <w:sz w:val="29"/>
        </w:rPr>
        <w:t>The economics in brief</w:t>
      </w:r>
    </w:p>
    <w:p>
      <w:pPr>
        <w:pStyle w:val="ListBullet"/>
        <w:spacing w:after="40"/>
      </w:pPr>
      <w:r>
        <w:rPr>
          <w:sz w:val="22"/>
        </w:rPr>
        <w:t>Subscription price: $54 / month (20-pack).</w:t>
      </w:r>
    </w:p>
    <w:p>
      <w:pPr>
        <w:pStyle w:val="ListBullet"/>
        <w:spacing w:after="40"/>
      </w:pPr>
      <w:r>
        <w:rPr>
          <w:sz w:val="22"/>
        </w:rPr>
        <w:t>Cost to make + ship: ~$27 (50% of price; was ~$49 at 90% COGS).</w:t>
      </w:r>
    </w:p>
    <w:p>
      <w:pPr>
        <w:pStyle w:val="ListBullet"/>
        <w:spacing w:after="40"/>
      </w:pPr>
      <w:r>
        <w:rPr>
          <w:sz w:val="22"/>
        </w:rPr>
        <w:t>Contribution per order: ~$27.</w:t>
      </w:r>
    </w:p>
    <w:p>
      <w:pPr>
        <w:pStyle w:val="ListBullet"/>
        <w:spacing w:after="40"/>
      </w:pPr>
      <w:r>
        <w:rPr>
          <w:sz w:val="22"/>
        </w:rPr>
        <w:t>Traffic: ~13,000 visitors / month; each 1 point of opt-in ≈ ~130 new emails / month.</w:t>
      </w:r>
    </w:p>
    <w:p>
      <w:pPr>
        <w:pStyle w:val="ListBullet"/>
        <w:spacing w:after="40"/>
      </w:pPr>
      <w:r>
        <w:rPr>
          <w:sz w:val="22"/>
        </w:rPr>
        <w:t>Typical retention: ~4 months (the number we most need to confirm).</w:t>
      </w:r>
    </w:p>
    <w:p>
      <w:pPr>
        <w:spacing w:before="280" w:after="80"/>
      </w:pPr>
      <w:r>
        <w:rPr>
          <w:b/>
          <w:color w:val="0E7490"/>
          <w:sz w:val="29"/>
        </w:rPr>
        <w:t>Offer 1 — The Comeback Offer</w:t>
      </w:r>
    </w:p>
    <w:p>
      <w:pPr>
        <w:spacing w:before="160" w:after="40"/>
      </w:pPr>
      <w:r>
        <w:rPr>
          <w:b/>
          <w:color w:val="1F2A37"/>
          <w:sz w:val="23"/>
        </w:rPr>
        <w:t>How it works</w:t>
      </w:r>
    </w:p>
    <w:p>
      <w:pPr>
        <w:spacing w:after="120"/>
      </w:pPr>
      <w:r>
        <w:rPr>
          <w:i w:val="0"/>
          <w:sz w:val="22"/>
        </w:rPr>
        <w:t>An inflated “anchor” price shown next to a deep first-order discount that the customer unlocks by entering their email and starting a subscription. This is the offer that filled our email list before. At 90% COGS the discounted first order made about $0; at 50% COGS it makes +$22 — same offer, now profitable from order one.</w:t>
      </w:r>
    </w:p>
    <w:p>
      <w:pPr>
        <w:spacing w:before="160" w:after="40"/>
      </w:pPr>
      <w:r>
        <w:rPr>
          <w:b/>
          <w:color w:val="1F2A37"/>
          <w:sz w:val="23"/>
        </w:rPr>
        <w:t>Unit-economic forecast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176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5328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Forecast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Email opt-in rate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~6% (proven; was 6.2%)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New emails / month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~650–910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First order (discounted ~$49)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+$22 contribution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Each refill ($54)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+$27 contribution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Payback @ $50 CAC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~2 months  ·  2.1× LTV:CAC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Payback @ $100 CAC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~4 months  ·  1.0× (break-even)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Low — profitable on the first order</w:t>
            </w:r>
          </w:p>
        </w:tc>
      </w:tr>
    </w:tbl>
    <w:p>
      <w:pPr>
        <w:spacing w:after="120"/>
      </w:pPr>
      <w:r>
        <w:rPr>
          <w:i/>
          <w:color w:val="6B7178"/>
          <w:sz w:val="21"/>
        </w:rPr>
        <w:t>Takeaway: a low-risk engine that rebuilds the email list and makes money on the first order, before we count on anyone staying.</w:t>
      </w:r>
    </w:p>
    <w:p>
      <w:pPr>
        <w:spacing w:before="280" w:after="80"/>
      </w:pPr>
      <w:r>
        <w:rPr>
          <w:b/>
          <w:color w:val="0E7490"/>
          <w:sz w:val="29"/>
        </w:rPr>
        <w:t>Offer 2 — Try One Dollar</w:t>
      </w:r>
    </w:p>
    <w:p>
      <w:pPr>
        <w:spacing w:before="160" w:after="40"/>
      </w:pPr>
      <w:r>
        <w:rPr>
          <w:b/>
          <w:color w:val="1F2A37"/>
          <w:sz w:val="23"/>
        </w:rPr>
        <w:t>How it works</w:t>
      </w:r>
    </w:p>
    <w:p>
      <w:pPr>
        <w:spacing w:after="120"/>
      </w:pPr>
      <w:r>
        <w:rPr>
          <w:i w:val="0"/>
          <w:sz w:val="22"/>
        </w:rPr>
        <w:t>The customer pays $1 today and gets the product. If they don’t cancel, they’re charged the full price at day 21; the first refill ships at day 30, then monthly after that. This offer is new to Numin — but a $1 hook is about the strongest in DTC, and at a comparable brand it drove very high email volume, so we expect it to be our biggest list-builder.</w:t>
      </w:r>
    </w:p>
    <w:p>
      <w:pPr>
        <w:spacing w:before="160" w:after="40"/>
      </w:pPr>
      <w:r>
        <w:rPr>
          <w:b/>
          <w:color w:val="1F2A37"/>
          <w:sz w:val="23"/>
        </w:rPr>
        <w:t>Unit-economic forecast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176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5328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Forecast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Email opt-in rate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~20–33% (benchmark: ~33% at a comparable brand)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New emails / month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~2,600–4,300 (~7× today)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First-order contribution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~$3–6 (thin)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Converted subscriber value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$108 (4 mo) · $162 (6 mo) · $324 (12 mo)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Monthly converted cohort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~780 subs ≈ ~$125K lifetime contribution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LTV:CAC (upside)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~3–4× @ $40–50 CAC, 6-mo life</w:t>
            </w:r>
          </w:p>
        </w:tc>
      </w:tr>
      <w:tr>
        <w:tc>
          <w:tcPr>
            <w:tcW w:type="dxa" w:w="4176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5328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High — the return rides on refills</w:t>
            </w:r>
          </w:p>
        </w:tc>
      </w:tr>
    </w:tbl>
    <w:p>
      <w:pPr>
        <w:spacing w:after="120"/>
      </w:pPr>
      <w:r>
        <w:rPr>
          <w:i/>
          <w:color w:val="6B7178"/>
          <w:sz w:val="21"/>
        </w:rPr>
        <w:t>The catch: profitable only if at least ~49% of trials convert at day 21 (healthy ≥55%), customers stay for refills, and chargebacks stay under 1% (clear disclosure, a reminder before the day-21 charge, one-click cancel).</w:t>
      </w:r>
    </w:p>
    <w:p>
      <w:pPr>
        <w:spacing w:before="280" w:after="80"/>
      </w:pPr>
      <w:r>
        <w:rPr>
          <w:b/>
          <w:color w:val="1F2A37"/>
          <w:sz w:val="29"/>
        </w:rPr>
        <w:t>Side by side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3024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Comeback Offer</w:t>
            </w:r>
          </w:p>
        </w:tc>
        <w:tc>
          <w:tcPr>
            <w:tcW w:type="dxa" w:w="3024"/>
            <w:vAlign w:val="center"/>
            <w:shd w:val="clear" w:color="auto" w:fill="1F2A37"/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Try One Dollar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New emails / month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650–910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2,600–4,300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First-order contribution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+$22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~$3–6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Pays back on order 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Yes (reasonable CAC)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No — refill bet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Lifetime value / retained sub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~$162 (6 mo)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~$162 (6 mo)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Risk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Low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High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/>
            <w:r>
              <w:rPr>
                <w:b/>
              </w:rPr>
              <w:t>Best for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Steady, profitable list growth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/>
            <w:r>
              <w:rPr>
                <w:b w:val="0"/>
              </w:rPr>
              <w:t>Aggressive volume</w:t>
            </w:r>
          </w:p>
        </w:tc>
      </w:tr>
    </w:tbl>
    <w:p>
      <w:pPr>
        <w:spacing w:before="280" w:after="80"/>
      </w:pPr>
      <w:r>
        <w:rPr>
          <w:b/>
          <w:color w:val="1F2A37"/>
          <w:sz w:val="29"/>
        </w:rPr>
        <w:t>Recommendation</w:t>
      </w:r>
    </w:p>
    <w:p>
      <w:pPr>
        <w:pStyle w:val="ListNumber"/>
        <w:spacing w:after="60"/>
      </w:pPr>
      <w:r>
        <w:t>Run the Comeback Offer now — low risk, profitable on the first order, and it rebuilds the list we’ve lost.</w:t>
      </w:r>
    </w:p>
    <w:p>
      <w:pPr>
        <w:pStyle w:val="ListNumber"/>
        <w:spacing w:after="60"/>
      </w:pPr>
      <w:r>
        <w:t>Test Try One Dollar on a portion of traffic with the guardrails above; scale only if day-21 conversion and reorder rates clear the bar.</w:t>
      </w:r>
    </w:p>
    <w:p>
      <w:pPr>
        <w:pStyle w:val="ListNumber"/>
        <w:spacing w:after="60"/>
      </w:pPr>
      <w:r>
        <w:t>Try One Dollar is new to Numin — treat the first run as a measured test: instrument day-21 conversion, reorder rate, and chargebacks, and validate against the benchmark before scaling.</w:t>
      </w:r>
    </w:p>
    <w:p>
      <w:pPr>
        <w:spacing w:before="280" w:after="80"/>
      </w:pPr>
      <w:r>
        <w:rPr>
          <w:b/>
          <w:color w:val="1F2A37"/>
          <w:sz w:val="29"/>
        </w:rPr>
        <w:t>Assumptions &amp; notes</w:t>
      </w:r>
    </w:p>
    <w:p>
      <w:pPr>
        <w:spacing w:after="40"/>
      </w:pPr>
      <w:r>
        <w:rPr>
          <w:i w:val="0"/>
          <w:color w:val="6B7178"/>
          <w:sz w:val="20"/>
        </w:rPr>
        <w:t>Estimates for planning, not measured results — the low end of each range is the conservative number.</w:t>
      </w:r>
    </w:p>
    <w:p>
      <w:pPr>
        <w:pStyle w:val="ListBullet"/>
        <w:spacing w:after="40"/>
      </w:pPr>
      <w:r>
        <w:rPr>
          <w:color w:val="6B7178"/>
          <w:sz w:val="20"/>
        </w:rPr>
        <w:t>$54 sub, ~50% COGS, ~13,000 visitors/mo, ~4-month retention — to be confirmed.</w:t>
      </w:r>
    </w:p>
    <w:p>
      <w:pPr>
        <w:pStyle w:val="ListBullet"/>
        <w:spacing w:after="40"/>
      </w:pPr>
      <w:r>
        <w:rPr>
          <w:color w:val="6B7178"/>
          <w:sz w:val="20"/>
        </w:rPr>
        <w:t>Opt-in: Comeback proven at ~6.2% at Numin; Try One Dollar is new to Numin — the ~33% is a benchmark from a comparable $1 trial at another brand, planned here at 20%.</w:t>
      </w:r>
    </w:p>
    <w:p>
      <w:pPr>
        <w:pStyle w:val="ListBullet"/>
        <w:spacing w:after="40"/>
      </w:pPr>
      <w:r>
        <w:rPr>
          <w:color w:val="6B7178"/>
          <w:sz w:val="20"/>
        </w:rPr>
        <w:t>Comeback payback: first order +$22, each refill +$27; CAC $50 (target) and $100 (high end we’ve seen).</w:t>
      </w:r>
    </w:p>
    <w:p>
      <w:pPr>
        <w:pStyle w:val="ListBullet"/>
        <w:spacing w:after="40"/>
      </w:pPr>
      <w:r>
        <w:rPr>
          <w:color w:val="6B7178"/>
          <w:sz w:val="20"/>
        </w:rPr>
        <w:t>Try One Dollar upside: ~60% day-21 conversion, ~6-month retention, ~$40–50 effective cost per subscriber — optimistic but plausible, and unproven at Numin.</w:t>
      </w:r>
    </w:p>
    <w:p>
      <w:pPr>
        <w:pStyle w:val="ListBullet"/>
        <w:spacing w:after="40"/>
      </w:pPr>
      <w:r>
        <w:rPr>
          <w:color w:val="6B7178"/>
          <w:sz w:val="20"/>
        </w:rPr>
        <w:t>“First-order basis” deliberately ignores future refills, to show the risk before we bet on retention.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