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F2A37"/>
          <w:sz w:val="44"/>
        </w:rPr>
        <w:t>Numin Offer Plan</w:t>
      </w:r>
    </w:p>
    <w:p>
      <w:pPr>
        <w:spacing w:after="120"/>
      </w:pPr>
      <w:r>
        <w:rPr>
          <w:color w:val="6B7178"/>
          <w:sz w:val="21"/>
        </w:rPr>
        <w:t>Two offers. What each one is, and the money behind it.  June 2026</w:t>
      </w:r>
    </w:p>
    <w:p>
      <w:pPr>
        <w:spacing w:after="160"/>
        <w:pBdr>
          <w:bottom w:val="single" w:sz="6" w:space="1" w:color="C4C9CE"/>
        </w:pBdr>
      </w:pPr>
    </w:p>
    <w:p>
      <w:pPr>
        <w:spacing w:before="280" w:after="80"/>
      </w:pPr>
      <w:r>
        <w:rPr>
          <w:b/>
          <w:color w:val="1F2A37"/>
          <w:sz w:val="29"/>
        </w:rPr>
        <w:t>Why now</w:t>
      </w:r>
    </w:p>
    <w:p>
      <w:pPr>
        <w:spacing w:after="120"/>
      </w:pPr>
      <w:r>
        <w:rPr>
          <w:i w:val="0"/>
          <w:sz w:val="22"/>
        </w:rPr>
        <w:t>A box of Numin sells for $54 on a monthly plan, or $90 as a one time buy. It now costs us about $27 to make and ship a box. It used to cost about $48. So we keep more money on every box than we used to.</w:t>
      </w:r>
    </w:p>
    <w:p>
      <w:pPr>
        <w:spacing w:after="120"/>
      </w:pPr>
      <w:r>
        <w:rPr>
          <w:i w:val="0"/>
          <w:sz w:val="22"/>
        </w:rPr>
        <w:t>That change matters. Two offers that lost money before can now make money. One is a discount offer. We have run it here before and it worked. It filled our email list. The other is a $1 trial. It is new for Numin. It worked at another brand and brought in a lot of emails.</w:t>
      </w:r>
    </w:p>
    <w:p>
      <w:pPr>
        <w:spacing w:after="120"/>
      </w:pPr>
      <w:r>
        <w:rPr>
          <w:i w:val="0"/>
          <w:sz w:val="22"/>
        </w:rPr>
        <w:t>We also have a problem to fix. Fewer people are joining our email list. Sign ups dropped from 6 out of 100 visitors to under 3 out of 100. New emails dropped from about 750 a month to about 350. We need a stronger offer to turn this around.</w:t>
      </w:r>
    </w:p>
    <w:p>
      <w:pPr>
        <w:spacing w:before="280" w:after="80"/>
      </w:pPr>
      <w:r>
        <w:rPr>
          <w:b/>
          <w:color w:val="1F2A37"/>
          <w:sz w:val="29"/>
        </w:rPr>
        <w:t>The basic numbers</w:t>
      </w:r>
    </w:p>
    <w:p>
      <w:pPr>
        <w:pStyle w:val="ListBullet"/>
        <w:spacing w:after="40"/>
      </w:pPr>
      <w:r>
        <w:rPr>
          <w:sz w:val="22"/>
        </w:rPr>
        <w:t>Monthly plan price: $54 for one box.</w:t>
      </w:r>
    </w:p>
    <w:p>
      <w:pPr>
        <w:pStyle w:val="ListBullet"/>
        <w:spacing w:after="40"/>
      </w:pPr>
      <w:r>
        <w:rPr>
          <w:sz w:val="22"/>
        </w:rPr>
        <w:t>One time price, no plan: $90.</w:t>
      </w:r>
    </w:p>
    <w:p>
      <w:pPr>
        <w:pStyle w:val="ListBullet"/>
        <w:spacing w:after="40"/>
      </w:pPr>
      <w:r>
        <w:rPr>
          <w:sz w:val="22"/>
        </w:rPr>
        <w:t>Cost to make and ship one box: about $27.</w:t>
      </w:r>
    </w:p>
    <w:p>
      <w:pPr>
        <w:pStyle w:val="ListBullet"/>
        <w:spacing w:after="40"/>
      </w:pPr>
      <w:r>
        <w:rPr>
          <w:sz w:val="22"/>
        </w:rPr>
        <w:t>Money we keep per box: about $27. We use this to pay for ads and to make a profit.</w:t>
      </w:r>
    </w:p>
    <w:p>
      <w:pPr>
        <w:pStyle w:val="ListBullet"/>
        <w:spacing w:after="40"/>
      </w:pPr>
      <w:r>
        <w:rPr>
          <w:sz w:val="22"/>
        </w:rPr>
        <w:t>Visitors to our site: about 13,000 a month.</w:t>
      </w:r>
    </w:p>
    <w:p>
      <w:pPr>
        <w:pStyle w:val="ListBullet"/>
        <w:spacing w:after="40"/>
      </w:pPr>
      <w:r>
        <w:rPr>
          <w:sz w:val="22"/>
        </w:rPr>
        <w:t>How long a customer stays: about 4 months on average. We want this to be longer.</w:t>
      </w:r>
    </w:p>
    <w:p>
      <w:pPr>
        <w:spacing w:before="280" w:after="80"/>
      </w:pPr>
      <w:r>
        <w:rPr>
          <w:b/>
          <w:color w:val="0E7490"/>
          <w:sz w:val="29"/>
        </w:rPr>
        <w:t>Offer 1: The Comeback Deal</w:t>
      </w:r>
    </w:p>
    <w:p>
      <w:pPr>
        <w:spacing w:before="160" w:after="40"/>
      </w:pPr>
      <w:r>
        <w:rPr>
          <w:b/>
          <w:color w:val="1F2A37"/>
          <w:sz w:val="23"/>
        </w:rPr>
        <w:t>How it works</w:t>
      </w:r>
    </w:p>
    <w:p>
      <w:pPr>
        <w:spacing w:after="120"/>
      </w:pPr>
      <w:r>
        <w:rPr>
          <w:i w:val="0"/>
          <w:sz w:val="22"/>
        </w:rPr>
        <w:t>We show two prices on the site. One box by itself is $90. Or you join the monthly plan and pay $54. That is 40 percent off.</w:t>
      </w:r>
    </w:p>
    <w:p>
      <w:pPr>
        <w:spacing w:after="120"/>
      </w:pPr>
      <w:r>
        <w:rPr>
          <w:i w:val="0"/>
          <w:sz w:val="22"/>
        </w:rPr>
        <w:t>A pop up asks for the customer's email to unlock the plan price. They enter their email. They join the plan. They pay $54 every month.</w:t>
      </w:r>
    </w:p>
    <w:p>
      <w:pPr>
        <w:spacing w:after="120"/>
      </w:pPr>
      <w:r>
        <w:rPr>
          <w:i w:val="0"/>
          <w:sz w:val="22"/>
        </w:rPr>
        <w:t>This is the same offer we used before, and it worked. The reason it lost money back then was simple. The product cost too much to make. Now it costs less, so the offer makes money from the very first order.</w:t>
      </w:r>
    </w:p>
    <w:p>
      <w:pPr>
        <w:spacing w:before="160" w:after="40"/>
      </w:pPr>
      <w:r>
        <w:rPr>
          <w:b/>
          <w:color w:val="1F2A37"/>
          <w:sz w:val="23"/>
        </w:rPr>
        <w:t>The money</w:t>
      </w:r>
    </w:p>
    <w:tbl>
      <w:tblPr>
        <w:tblStyle w:val="TableGrid"/>
        <w:tblW w:type="auto" w:w="0"/>
        <w:tblLayout w:type="fixed"/>
        <w:tblLook w:firstColumn="1" w:firstRow="1" w:lastColumn="0" w:lastRow="0" w:noHBand="0" w:noVBand="1" w:val="04A0"/>
      </w:tblPr>
      <w:tblGrid>
        <w:gridCol w:w="4824"/>
        <w:gridCol w:w="4824"/>
      </w:tblGrid>
      <w:tr>
        <w:tc>
          <w:tcPr>
            <w:tcW w:type="dxa" w:w="4896"/>
            <w:vAlign w:val="center"/>
            <w:shd w:val="clear" w:color="auto" w:fill="1F2A37"/>
          </w:tcPr>
          <w:p>
            <w:pPr>
              <w:spacing w:after="40" w:before="40"/>
            </w:pPr>
            <w:r/>
            <w:r>
              <w:rPr>
                <w:b/>
                <w:color w:val="FFFFFF"/>
              </w:rPr>
              <w:t>What</w:t>
            </w:r>
          </w:p>
        </w:tc>
        <w:tc>
          <w:tcPr>
            <w:tcW w:type="dxa" w:w="4608"/>
            <w:vAlign w:val="center"/>
            <w:shd w:val="clear" w:color="auto" w:fill="1F2A37"/>
          </w:tcPr>
          <w:p>
            <w:pPr>
              <w:spacing w:after="40" w:before="40"/>
            </w:pPr>
            <w:r/>
            <w:r>
              <w:rPr>
                <w:b/>
                <w:color w:val="FFFFFF"/>
              </w:rPr>
              <w:t>Number</w:t>
            </w:r>
          </w:p>
        </w:tc>
      </w:tr>
      <w:tr>
        <w:tc>
          <w:tcPr>
            <w:tcW w:type="dxa" w:w="4896"/>
            <w:vAlign w:val="center"/>
          </w:tcPr>
          <w:p>
            <w:pPr>
              <w:spacing w:after="40" w:before="40"/>
            </w:pPr>
            <w:r/>
            <w:r>
              <w:rPr>
                <w:b w:val="0"/>
              </w:rPr>
              <w:t>People who join our email list</w:t>
            </w:r>
          </w:p>
        </w:tc>
        <w:tc>
          <w:tcPr>
            <w:tcW w:type="dxa" w:w="4608"/>
            <w:vAlign w:val="center"/>
          </w:tcPr>
          <w:p>
            <w:pPr>
              <w:spacing w:after="40" w:before="40"/>
            </w:pPr>
            <w:r/>
            <w:r>
              <w:rPr>
                <w:b/>
              </w:rPr>
              <w:t>about 6 out of 100 visitors</w:t>
            </w:r>
          </w:p>
        </w:tc>
      </w:tr>
      <w:tr>
        <w:tc>
          <w:tcPr>
            <w:tcW w:type="dxa" w:w="4896"/>
            <w:vAlign w:val="center"/>
          </w:tcPr>
          <w:p>
            <w:pPr>
              <w:spacing w:after="40" w:before="40"/>
            </w:pPr>
            <w:r/>
            <w:r>
              <w:rPr>
                <w:b w:val="0"/>
              </w:rPr>
              <w:t>New emails each month</w:t>
            </w:r>
          </w:p>
        </w:tc>
        <w:tc>
          <w:tcPr>
            <w:tcW w:type="dxa" w:w="4608"/>
            <w:vAlign w:val="center"/>
          </w:tcPr>
          <w:p>
            <w:pPr>
              <w:spacing w:after="40" w:before="40"/>
            </w:pPr>
            <w:r/>
            <w:r>
              <w:rPr>
                <w:b/>
              </w:rPr>
              <w:t>about 650 to 910</w:t>
            </w:r>
          </w:p>
        </w:tc>
      </w:tr>
      <w:tr>
        <w:tc>
          <w:tcPr>
            <w:tcW w:type="dxa" w:w="4896"/>
            <w:vAlign w:val="center"/>
          </w:tcPr>
          <w:p>
            <w:pPr>
              <w:spacing w:after="40" w:before="40"/>
            </w:pPr>
            <w:r/>
            <w:r>
              <w:rPr>
                <w:b w:val="0"/>
              </w:rPr>
              <w:t>Money we keep on every order</w:t>
            </w:r>
          </w:p>
        </w:tc>
        <w:tc>
          <w:tcPr>
            <w:tcW w:type="dxa" w:w="4608"/>
            <w:vAlign w:val="center"/>
          </w:tcPr>
          <w:p>
            <w:pPr>
              <w:spacing w:after="40" w:before="40"/>
            </w:pPr>
            <w:r/>
            <w:r>
              <w:rPr>
                <w:b/>
              </w:rPr>
              <w:t>about $27</w:t>
            </w:r>
          </w:p>
        </w:tc>
      </w:tr>
      <w:tr>
        <w:tc>
          <w:tcPr>
            <w:tcW w:type="dxa" w:w="4896"/>
            <w:vAlign w:val="center"/>
          </w:tcPr>
          <w:p>
            <w:pPr>
              <w:spacing w:after="40" w:before="40"/>
            </w:pPr>
            <w:r/>
            <w:r>
              <w:rPr>
                <w:b w:val="0"/>
              </w:rPr>
              <w:t>If an ad costs $50 to get a customer</w:t>
            </w:r>
          </w:p>
        </w:tc>
        <w:tc>
          <w:tcPr>
            <w:tcW w:type="dxa" w:w="4608"/>
            <w:vAlign w:val="center"/>
          </w:tcPr>
          <w:p>
            <w:pPr>
              <w:spacing w:after="40" w:before="40"/>
            </w:pPr>
            <w:r/>
            <w:r>
              <w:rPr>
                <w:b/>
              </w:rPr>
              <w:t>paid back in about 2 months, then profit</w:t>
            </w:r>
          </w:p>
        </w:tc>
      </w:tr>
      <w:tr>
        <w:tc>
          <w:tcPr>
            <w:tcW w:type="dxa" w:w="4896"/>
            <w:vAlign w:val="center"/>
          </w:tcPr>
          <w:p>
            <w:pPr>
              <w:spacing w:after="40" w:before="40"/>
            </w:pPr>
            <w:r/>
            <w:r>
              <w:rPr>
                <w:b w:val="0"/>
              </w:rPr>
              <w:t>If an ad costs $100 to get a customer</w:t>
            </w:r>
          </w:p>
        </w:tc>
        <w:tc>
          <w:tcPr>
            <w:tcW w:type="dxa" w:w="4608"/>
            <w:vAlign w:val="center"/>
          </w:tcPr>
          <w:p>
            <w:pPr>
              <w:spacing w:after="40" w:before="40"/>
            </w:pPr>
            <w:r/>
            <w:r>
              <w:rPr>
                <w:b/>
              </w:rPr>
              <w:t>paid back in about 4 months, so we just break even</w:t>
            </w:r>
          </w:p>
        </w:tc>
      </w:tr>
      <w:tr>
        <w:tc>
          <w:tcPr>
            <w:tcW w:type="dxa" w:w="4896"/>
            <w:vAlign w:val="center"/>
          </w:tcPr>
          <w:p>
            <w:pPr>
              <w:spacing w:after="40" w:before="40"/>
            </w:pPr>
            <w:r/>
            <w:r>
              <w:rPr>
                <w:b w:val="0"/>
              </w:rPr>
              <w:t>Risk</w:t>
            </w:r>
          </w:p>
        </w:tc>
        <w:tc>
          <w:tcPr>
            <w:tcW w:type="dxa" w:w="4608"/>
            <w:vAlign w:val="center"/>
          </w:tcPr>
          <w:p>
            <w:pPr>
              <w:spacing w:after="40" w:before="40"/>
            </w:pPr>
            <w:r/>
            <w:r>
              <w:rPr>
                <w:b/>
              </w:rPr>
              <w:t>Low. We make money on the first order.</w:t>
            </w:r>
          </w:p>
        </w:tc>
      </w:tr>
    </w:tbl>
    <w:p>
      <w:pPr>
        <w:spacing w:after="120"/>
      </w:pPr>
      <w:r>
        <w:rPr>
          <w:i/>
          <w:color w:val="6B7178"/>
          <w:sz w:val="21"/>
        </w:rPr>
        <w:t>In short: this is the safe choice. It makes money right away and rebuilds the email list.</w:t>
      </w:r>
    </w:p>
    <w:p>
      <w:pPr>
        <w:spacing w:before="280" w:after="80"/>
      </w:pPr>
      <w:r>
        <w:rPr>
          <w:b/>
          <w:color w:val="0E7490"/>
          <w:sz w:val="29"/>
        </w:rPr>
        <w:t>Offer 2: The $1 Trial</w:t>
      </w:r>
    </w:p>
    <w:p>
      <w:pPr>
        <w:spacing w:before="160" w:after="40"/>
      </w:pPr>
      <w:r>
        <w:rPr>
          <w:b/>
          <w:color w:val="1F2A37"/>
          <w:sz w:val="23"/>
        </w:rPr>
        <w:t>How it works</w:t>
      </w:r>
    </w:p>
    <w:p>
      <w:pPr>
        <w:spacing w:after="120"/>
      </w:pPr>
      <w:r>
        <w:rPr>
          <w:i w:val="0"/>
          <w:sz w:val="22"/>
        </w:rPr>
        <w:t>The customer pays $1 today and gets a box. If they do not cancel, we charge them the full price on day 21. On day 30 we send the next box and the monthly plan begins.</w:t>
      </w:r>
    </w:p>
    <w:p>
      <w:pPr>
        <w:spacing w:after="120"/>
      </w:pPr>
      <w:r>
        <w:rPr>
          <w:i w:val="0"/>
          <w:sz w:val="22"/>
        </w:rPr>
        <w:t>This offer is new for Numin. A $1 price is the strongest hook there is. At another brand it brought in far more emails than a normal offer. So we expect it to bring in the most emails by far.</w:t>
      </w:r>
    </w:p>
    <w:p>
      <w:pPr>
        <w:spacing w:before="160" w:after="40"/>
      </w:pPr>
      <w:r>
        <w:rPr>
          <w:b/>
          <w:color w:val="1F2A37"/>
          <w:sz w:val="23"/>
        </w:rPr>
        <w:t>The money</w:t>
      </w:r>
    </w:p>
    <w:tbl>
      <w:tblPr>
        <w:tblStyle w:val="TableGrid"/>
        <w:tblW w:type="auto" w:w="0"/>
        <w:tblLayout w:type="fixed"/>
        <w:tblLook w:firstColumn="1" w:firstRow="1" w:lastColumn="0" w:lastRow="0" w:noHBand="0" w:noVBand="1" w:val="04A0"/>
      </w:tblPr>
      <w:tblGrid>
        <w:gridCol w:w="4824"/>
        <w:gridCol w:w="4824"/>
      </w:tblGrid>
      <w:tr>
        <w:tc>
          <w:tcPr>
            <w:tcW w:type="dxa" w:w="4896"/>
            <w:vAlign w:val="center"/>
            <w:shd w:val="clear" w:color="auto" w:fill="1F2A37"/>
          </w:tcPr>
          <w:p>
            <w:pPr>
              <w:spacing w:after="40" w:before="40"/>
            </w:pPr>
            <w:r/>
            <w:r>
              <w:rPr>
                <w:b/>
                <w:color w:val="FFFFFF"/>
              </w:rPr>
              <w:t>What</w:t>
            </w:r>
          </w:p>
        </w:tc>
        <w:tc>
          <w:tcPr>
            <w:tcW w:type="dxa" w:w="4608"/>
            <w:vAlign w:val="center"/>
            <w:shd w:val="clear" w:color="auto" w:fill="1F2A37"/>
          </w:tcPr>
          <w:p>
            <w:pPr>
              <w:spacing w:after="40" w:before="40"/>
            </w:pPr>
            <w:r/>
            <w:r>
              <w:rPr>
                <w:b/>
                <w:color w:val="FFFFFF"/>
              </w:rPr>
              <w:t>Number</w:t>
            </w:r>
          </w:p>
        </w:tc>
      </w:tr>
      <w:tr>
        <w:tc>
          <w:tcPr>
            <w:tcW w:type="dxa" w:w="4896"/>
            <w:vAlign w:val="center"/>
          </w:tcPr>
          <w:p>
            <w:pPr>
              <w:spacing w:after="40" w:before="40"/>
            </w:pPr>
            <w:r/>
            <w:r>
              <w:rPr>
                <w:b w:val="0"/>
              </w:rPr>
              <w:t>People who join our email list</w:t>
            </w:r>
          </w:p>
        </w:tc>
        <w:tc>
          <w:tcPr>
            <w:tcW w:type="dxa" w:w="4608"/>
            <w:vAlign w:val="center"/>
          </w:tcPr>
          <w:p>
            <w:pPr>
              <w:spacing w:after="40" w:before="40"/>
            </w:pPr>
            <w:r/>
            <w:r>
              <w:rPr>
                <w:b/>
              </w:rPr>
              <w:t>about 20 out of 100 (another brand got 33)</w:t>
            </w:r>
          </w:p>
        </w:tc>
      </w:tr>
      <w:tr>
        <w:tc>
          <w:tcPr>
            <w:tcW w:type="dxa" w:w="4896"/>
            <w:vAlign w:val="center"/>
          </w:tcPr>
          <w:p>
            <w:pPr>
              <w:spacing w:after="40" w:before="40"/>
            </w:pPr>
            <w:r/>
            <w:r>
              <w:rPr>
                <w:b w:val="0"/>
              </w:rPr>
              <w:t>New emails each month</w:t>
            </w:r>
          </w:p>
        </w:tc>
        <w:tc>
          <w:tcPr>
            <w:tcW w:type="dxa" w:w="4608"/>
            <w:vAlign w:val="center"/>
          </w:tcPr>
          <w:p>
            <w:pPr>
              <w:spacing w:after="40" w:before="40"/>
            </w:pPr>
            <w:r/>
            <w:r>
              <w:rPr>
                <w:b/>
              </w:rPr>
              <w:t>about 2,600 to 4,300, around 7 times what we get now</w:t>
            </w:r>
          </w:p>
        </w:tc>
      </w:tr>
      <w:tr>
        <w:tc>
          <w:tcPr>
            <w:tcW w:type="dxa" w:w="4896"/>
            <w:vAlign w:val="center"/>
          </w:tcPr>
          <w:p>
            <w:pPr>
              <w:spacing w:after="40" w:before="40"/>
            </w:pPr>
            <w:r/>
            <w:r>
              <w:rPr>
                <w:b w:val="0"/>
              </w:rPr>
              <w:t>Money we keep on the first order</w:t>
            </w:r>
          </w:p>
        </w:tc>
        <w:tc>
          <w:tcPr>
            <w:tcW w:type="dxa" w:w="4608"/>
            <w:vAlign w:val="center"/>
          </w:tcPr>
          <w:p>
            <w:pPr>
              <w:spacing w:after="40" w:before="40"/>
            </w:pPr>
            <w:r/>
            <w:r>
              <w:rPr>
                <w:b/>
              </w:rPr>
              <w:t>only about $3 to $6</w:t>
            </w:r>
          </w:p>
        </w:tc>
      </w:tr>
      <w:tr>
        <w:tc>
          <w:tcPr>
            <w:tcW w:type="dxa" w:w="4896"/>
            <w:vAlign w:val="center"/>
          </w:tcPr>
          <w:p>
            <w:pPr>
              <w:spacing w:after="40" w:before="40"/>
            </w:pPr>
            <w:r/>
            <w:r>
              <w:rPr>
                <w:b w:val="0"/>
              </w:rPr>
              <w:t>Worth of a customer who stays 4 months</w:t>
            </w:r>
          </w:p>
        </w:tc>
        <w:tc>
          <w:tcPr>
            <w:tcW w:type="dxa" w:w="4608"/>
            <w:vAlign w:val="center"/>
          </w:tcPr>
          <w:p>
            <w:pPr>
              <w:spacing w:after="40" w:before="40"/>
            </w:pPr>
            <w:r/>
            <w:r>
              <w:rPr>
                <w:b/>
              </w:rPr>
              <w:t>about $108</w:t>
            </w:r>
          </w:p>
        </w:tc>
      </w:tr>
      <w:tr>
        <w:tc>
          <w:tcPr>
            <w:tcW w:type="dxa" w:w="4896"/>
            <w:vAlign w:val="center"/>
          </w:tcPr>
          <w:p>
            <w:pPr>
              <w:spacing w:after="40" w:before="40"/>
            </w:pPr>
            <w:r/>
            <w:r>
              <w:rPr>
                <w:b w:val="0"/>
              </w:rPr>
              <w:t>Worth of a customer who stays 6 months</w:t>
            </w:r>
          </w:p>
        </w:tc>
        <w:tc>
          <w:tcPr>
            <w:tcW w:type="dxa" w:w="4608"/>
            <w:vAlign w:val="center"/>
          </w:tcPr>
          <w:p>
            <w:pPr>
              <w:spacing w:after="40" w:before="40"/>
            </w:pPr>
            <w:r/>
            <w:r>
              <w:rPr>
                <w:b/>
              </w:rPr>
              <w:t>about $162</w:t>
            </w:r>
          </w:p>
        </w:tc>
      </w:tr>
      <w:tr>
        <w:tc>
          <w:tcPr>
            <w:tcW w:type="dxa" w:w="4896"/>
            <w:vAlign w:val="center"/>
          </w:tcPr>
          <w:p>
            <w:pPr>
              <w:spacing w:after="40" w:before="40"/>
            </w:pPr>
            <w:r/>
            <w:r>
              <w:rPr>
                <w:b w:val="0"/>
              </w:rPr>
              <w:t>Risk</w:t>
            </w:r>
          </w:p>
        </w:tc>
        <w:tc>
          <w:tcPr>
            <w:tcW w:type="dxa" w:w="4608"/>
            <w:vAlign w:val="center"/>
          </w:tcPr>
          <w:p>
            <w:pPr>
              <w:spacing w:after="40" w:before="40"/>
            </w:pPr>
            <w:r/>
            <w:r>
              <w:rPr>
                <w:b/>
              </w:rPr>
              <w:t>High. The money comes from people staying, not the first order.</w:t>
            </w:r>
          </w:p>
        </w:tc>
      </w:tr>
    </w:tbl>
    <w:p>
      <w:pPr>
        <w:spacing w:before="160" w:after="40"/>
      </w:pPr>
      <w:r>
        <w:rPr>
          <w:b/>
          <w:color w:val="1F2A37"/>
          <w:sz w:val="23"/>
        </w:rPr>
        <w:t>The catch</w:t>
      </w:r>
    </w:p>
    <w:p>
      <w:pPr>
        <w:spacing w:after="40"/>
      </w:pPr>
      <w:r>
        <w:rPr>
          <w:i w:val="0"/>
          <w:sz w:val="22"/>
        </w:rPr>
        <w:t>This offer only works if people stay. Here is what has to be true:</w:t>
      </w:r>
    </w:p>
    <w:p>
      <w:pPr>
        <w:pStyle w:val="ListBullet"/>
        <w:spacing w:after="40"/>
      </w:pPr>
      <w:r>
        <w:rPr>
          <w:sz w:val="22"/>
        </w:rPr>
        <w:t>About half the people need to keep the product on day 21. If fewer stay, we lose money.</w:t>
      </w:r>
    </w:p>
    <w:p>
      <w:pPr>
        <w:pStyle w:val="ListBullet"/>
        <w:spacing w:after="40"/>
      </w:pPr>
      <w:r>
        <w:rPr>
          <w:sz w:val="22"/>
        </w:rPr>
        <w:t>A person who takes the $1 deal and then leaves costs us about $26.</w:t>
      </w:r>
    </w:p>
    <w:p>
      <w:pPr>
        <w:pStyle w:val="ListBullet"/>
        <w:spacing w:after="40"/>
      </w:pPr>
      <w:r>
        <w:rPr>
          <w:sz w:val="22"/>
        </w:rPr>
        <w:t>We must keep refunds and card disputes low, under 1 out of 100. The day 21 charge can surprise people, so we tell them up front, remind them before we charge, and make canceling easy.</w:t>
      </w:r>
    </w:p>
    <w:p>
      <w:pPr>
        <w:spacing w:before="280" w:after="80"/>
      </w:pPr>
      <w:r>
        <w:rPr>
          <w:b/>
          <w:color w:val="1F2A37"/>
          <w:sz w:val="29"/>
        </w:rPr>
        <w:t>The two offers side by side</w:t>
      </w:r>
    </w:p>
    <w:tbl>
      <w:tblPr>
        <w:tblStyle w:val="TableGrid"/>
        <w:tblW w:type="auto" w:w="0"/>
        <w:tblLayout w:type="fixed"/>
        <w:tblLook w:firstColumn="1" w:firstRow="1" w:lastColumn="0" w:lastRow="0" w:noHBand="0" w:noVBand="1" w:val="04A0"/>
      </w:tblPr>
      <w:tblGrid>
        <w:gridCol w:w="3216"/>
        <w:gridCol w:w="3216"/>
        <w:gridCol w:w="3216"/>
      </w:tblGrid>
      <w:tr>
        <w:tc>
          <w:tcPr>
            <w:tcW w:type="dxa" w:w="3456"/>
            <w:vAlign w:val="center"/>
            <w:shd w:val="clear" w:color="auto" w:fill="1F2A37"/>
          </w:tcPr>
          <w:p>
            <w:pPr>
              <w:spacing w:after="40" w:before="40"/>
            </w:pPr>
            <w:r/>
            <w:r>
              <w:rPr>
                <w:b/>
                <w:color w:val="FFFFFF"/>
              </w:rPr>
            </w:r>
          </w:p>
        </w:tc>
        <w:tc>
          <w:tcPr>
            <w:tcW w:type="dxa" w:w="3024"/>
            <w:vAlign w:val="center"/>
            <w:shd w:val="clear" w:color="auto" w:fill="1F2A37"/>
          </w:tcPr>
          <w:p>
            <w:pPr>
              <w:spacing w:after="40" w:before="40"/>
            </w:pPr>
            <w:r/>
            <w:r>
              <w:rPr>
                <w:b/>
                <w:color w:val="FFFFFF"/>
              </w:rPr>
              <w:t>The Comeback Deal</w:t>
            </w:r>
          </w:p>
        </w:tc>
        <w:tc>
          <w:tcPr>
            <w:tcW w:type="dxa" w:w="3024"/>
            <w:vAlign w:val="center"/>
            <w:shd w:val="clear" w:color="auto" w:fill="1F2A37"/>
          </w:tcPr>
          <w:p>
            <w:pPr>
              <w:spacing w:after="40" w:before="40"/>
            </w:pPr>
            <w:r/>
            <w:r>
              <w:rPr>
                <w:b/>
                <w:color w:val="FFFFFF"/>
              </w:rPr>
              <w:t>The $1 Trial</w:t>
            </w:r>
          </w:p>
        </w:tc>
      </w:tr>
      <w:tr>
        <w:tc>
          <w:tcPr>
            <w:tcW w:type="dxa" w:w="3456"/>
            <w:vAlign w:val="center"/>
          </w:tcPr>
          <w:p>
            <w:pPr>
              <w:spacing w:after="40" w:before="40"/>
            </w:pPr>
            <w:r/>
            <w:r>
              <w:rPr>
                <w:b/>
              </w:rPr>
              <w:t>New emails each month</w:t>
            </w:r>
          </w:p>
        </w:tc>
        <w:tc>
          <w:tcPr>
            <w:tcW w:type="dxa" w:w="3024"/>
            <w:vAlign w:val="center"/>
          </w:tcPr>
          <w:p>
            <w:pPr>
              <w:spacing w:after="40" w:before="40"/>
            </w:pPr>
            <w:r/>
            <w:r>
              <w:rPr>
                <w:b w:val="0"/>
              </w:rPr>
              <w:t>650 to 910</w:t>
            </w:r>
          </w:p>
        </w:tc>
        <w:tc>
          <w:tcPr>
            <w:tcW w:type="dxa" w:w="3024"/>
            <w:vAlign w:val="center"/>
          </w:tcPr>
          <w:p>
            <w:pPr>
              <w:spacing w:after="40" w:before="40"/>
            </w:pPr>
            <w:r/>
            <w:r>
              <w:rPr>
                <w:b w:val="0"/>
              </w:rPr>
              <w:t>2,600 to 4,300</w:t>
            </w:r>
          </w:p>
        </w:tc>
      </w:tr>
      <w:tr>
        <w:tc>
          <w:tcPr>
            <w:tcW w:type="dxa" w:w="3456"/>
            <w:vAlign w:val="center"/>
          </w:tcPr>
          <w:p>
            <w:pPr>
              <w:spacing w:after="40" w:before="40"/>
            </w:pPr>
            <w:r/>
            <w:r>
              <w:rPr>
                <w:b/>
              </w:rPr>
              <w:t>Money on the first order</w:t>
            </w:r>
          </w:p>
        </w:tc>
        <w:tc>
          <w:tcPr>
            <w:tcW w:type="dxa" w:w="3024"/>
            <w:vAlign w:val="center"/>
          </w:tcPr>
          <w:p>
            <w:pPr>
              <w:spacing w:after="40" w:before="40"/>
            </w:pPr>
            <w:r/>
            <w:r>
              <w:rPr>
                <w:b w:val="0"/>
              </w:rPr>
              <w:t>about $27</w:t>
            </w:r>
          </w:p>
        </w:tc>
        <w:tc>
          <w:tcPr>
            <w:tcW w:type="dxa" w:w="3024"/>
            <w:vAlign w:val="center"/>
          </w:tcPr>
          <w:p>
            <w:pPr>
              <w:spacing w:after="40" w:before="40"/>
            </w:pPr>
            <w:r/>
            <w:r>
              <w:rPr>
                <w:b w:val="0"/>
              </w:rPr>
              <w:t>about $3 to $6</w:t>
            </w:r>
          </w:p>
        </w:tc>
      </w:tr>
      <w:tr>
        <w:tc>
          <w:tcPr>
            <w:tcW w:type="dxa" w:w="3456"/>
            <w:vAlign w:val="center"/>
          </w:tcPr>
          <w:p>
            <w:pPr>
              <w:spacing w:after="40" w:before="40"/>
            </w:pPr>
            <w:r/>
            <w:r>
              <w:rPr>
                <w:b/>
              </w:rPr>
              <w:t>Makes money on the first order</w:t>
            </w:r>
          </w:p>
        </w:tc>
        <w:tc>
          <w:tcPr>
            <w:tcW w:type="dxa" w:w="3024"/>
            <w:vAlign w:val="center"/>
          </w:tcPr>
          <w:p>
            <w:pPr>
              <w:spacing w:after="40" w:before="40"/>
            </w:pPr>
            <w:r/>
            <w:r>
              <w:rPr>
                <w:b w:val="0"/>
              </w:rPr>
              <w:t>Yes</w:t>
            </w:r>
          </w:p>
        </w:tc>
        <w:tc>
          <w:tcPr>
            <w:tcW w:type="dxa" w:w="3024"/>
            <w:vAlign w:val="center"/>
          </w:tcPr>
          <w:p>
            <w:pPr>
              <w:spacing w:after="40" w:before="40"/>
            </w:pPr>
            <w:r/>
            <w:r>
              <w:rPr>
                <w:b w:val="0"/>
              </w:rPr>
              <w:t>No. It needs reorders.</w:t>
            </w:r>
          </w:p>
        </w:tc>
      </w:tr>
      <w:tr>
        <w:tc>
          <w:tcPr>
            <w:tcW w:type="dxa" w:w="3456"/>
            <w:vAlign w:val="center"/>
          </w:tcPr>
          <w:p>
            <w:pPr>
              <w:spacing w:after="40" w:before="40"/>
            </w:pPr>
            <w:r/>
            <w:r>
              <w:rPr>
                <w:b/>
              </w:rPr>
              <w:t>Worth of a customer (6 months)</w:t>
            </w:r>
          </w:p>
        </w:tc>
        <w:tc>
          <w:tcPr>
            <w:tcW w:type="dxa" w:w="3024"/>
            <w:vAlign w:val="center"/>
          </w:tcPr>
          <w:p>
            <w:pPr>
              <w:spacing w:after="40" w:before="40"/>
            </w:pPr>
            <w:r/>
            <w:r>
              <w:rPr>
                <w:b w:val="0"/>
              </w:rPr>
              <w:t>about $162</w:t>
            </w:r>
          </w:p>
        </w:tc>
        <w:tc>
          <w:tcPr>
            <w:tcW w:type="dxa" w:w="3024"/>
            <w:vAlign w:val="center"/>
          </w:tcPr>
          <w:p>
            <w:pPr>
              <w:spacing w:after="40" w:before="40"/>
            </w:pPr>
            <w:r/>
            <w:r>
              <w:rPr>
                <w:b w:val="0"/>
              </w:rPr>
              <w:t>about $162</w:t>
            </w:r>
          </w:p>
        </w:tc>
      </w:tr>
      <w:tr>
        <w:tc>
          <w:tcPr>
            <w:tcW w:type="dxa" w:w="3456"/>
            <w:vAlign w:val="center"/>
          </w:tcPr>
          <w:p>
            <w:pPr>
              <w:spacing w:after="40" w:before="40"/>
            </w:pPr>
            <w:r/>
            <w:r>
              <w:rPr>
                <w:b/>
              </w:rPr>
              <w:t>Risk</w:t>
            </w:r>
          </w:p>
        </w:tc>
        <w:tc>
          <w:tcPr>
            <w:tcW w:type="dxa" w:w="3024"/>
            <w:vAlign w:val="center"/>
          </w:tcPr>
          <w:p>
            <w:pPr>
              <w:spacing w:after="40" w:before="40"/>
            </w:pPr>
            <w:r/>
            <w:r>
              <w:rPr>
                <w:b w:val="0"/>
              </w:rPr>
              <w:t>Low</w:t>
            </w:r>
          </w:p>
        </w:tc>
        <w:tc>
          <w:tcPr>
            <w:tcW w:type="dxa" w:w="3024"/>
            <w:vAlign w:val="center"/>
          </w:tcPr>
          <w:p>
            <w:pPr>
              <w:spacing w:after="40" w:before="40"/>
            </w:pPr>
            <w:r/>
            <w:r>
              <w:rPr>
                <w:b w:val="0"/>
              </w:rPr>
              <w:t>High</w:t>
            </w:r>
          </w:p>
        </w:tc>
      </w:tr>
      <w:tr>
        <w:tc>
          <w:tcPr>
            <w:tcW w:type="dxa" w:w="3456"/>
            <w:vAlign w:val="center"/>
          </w:tcPr>
          <w:p>
            <w:pPr>
              <w:spacing w:after="40" w:before="40"/>
            </w:pPr>
            <w:r/>
            <w:r>
              <w:rPr>
                <w:b/>
              </w:rPr>
              <w:t>Best for</w:t>
            </w:r>
          </w:p>
        </w:tc>
        <w:tc>
          <w:tcPr>
            <w:tcW w:type="dxa" w:w="3024"/>
            <w:vAlign w:val="center"/>
          </w:tcPr>
          <w:p>
            <w:pPr>
              <w:spacing w:after="40" w:before="40"/>
            </w:pPr>
            <w:r/>
            <w:r>
              <w:rPr>
                <w:b w:val="0"/>
              </w:rPr>
              <w:t>Steady, safe growth</w:t>
            </w:r>
          </w:p>
        </w:tc>
        <w:tc>
          <w:tcPr>
            <w:tcW w:type="dxa" w:w="3024"/>
            <w:vAlign w:val="center"/>
          </w:tcPr>
          <w:p>
            <w:pPr>
              <w:spacing w:after="40" w:before="40"/>
            </w:pPr>
            <w:r/>
            <w:r>
              <w:rPr>
                <w:b w:val="0"/>
              </w:rPr>
              <w:t>A lot of emails fast</w:t>
            </w:r>
          </w:p>
        </w:tc>
      </w:tr>
    </w:tbl>
    <w:p>
      <w:pPr>
        <w:spacing w:before="280" w:after="80"/>
      </w:pPr>
      <w:r>
        <w:rPr>
          <w:b/>
          <w:color w:val="1F2A37"/>
          <w:sz w:val="29"/>
        </w:rPr>
        <w:t>What we should do</w:t>
      </w:r>
    </w:p>
    <w:p>
      <w:pPr>
        <w:pStyle w:val="ListNumber"/>
        <w:spacing w:after="60"/>
      </w:pPr>
      <w:r>
        <w:t>Start the Comeback Deal now. It is low risk. It makes money on the first order. It rebuilds the email list we lost.</w:t>
      </w:r>
    </w:p>
    <w:p>
      <w:pPr>
        <w:pStyle w:val="ListNumber"/>
        <w:spacing w:after="60"/>
      </w:pPr>
      <w:r>
        <w:t>Test the $1 Trial on a small part of our traffic. Watch it closely. Only grow it if enough people stay after day 21 and refunds stay low.</w:t>
      </w:r>
    </w:p>
    <w:p>
      <w:pPr>
        <w:pStyle w:val="ListNumber"/>
        <w:spacing w:after="60"/>
      </w:pPr>
      <w:r>
        <w:t>The $1 Trial is new for us, so we do not have our own numbers yet. Treat the first run as a test. Track how many people stay, how many reorder, and how many ask for refunds.</w:t>
      </w:r>
    </w:p>
    <w:p>
      <w:pPr>
        <w:spacing w:before="280" w:after="80"/>
      </w:pPr>
      <w:r>
        <w:rPr>
          <w:b/>
          <w:color w:val="1F2A37"/>
          <w:sz w:val="29"/>
        </w:rPr>
        <w:t>What these numbers are based on</w:t>
      </w:r>
    </w:p>
    <w:p>
      <w:pPr>
        <w:pStyle w:val="ListBullet"/>
        <w:spacing w:after="40"/>
      </w:pPr>
      <w:r>
        <w:rPr>
          <w:color w:val="6B7178"/>
          <w:sz w:val="20"/>
        </w:rPr>
        <w:t>These are estimates for planning. They are not final results. We will confirm them when we run the offers.</w:t>
      </w:r>
    </w:p>
    <w:p>
      <w:pPr>
        <w:pStyle w:val="ListBullet"/>
        <w:spacing w:after="40"/>
      </w:pPr>
      <w:r>
        <w:rPr>
          <w:color w:val="6B7178"/>
          <w:sz w:val="20"/>
        </w:rPr>
        <w:t>A box is $54 on the monthly plan and $90 one time. It costs about $27 to make and ship.</w:t>
      </w:r>
    </w:p>
    <w:p>
      <w:pPr>
        <w:pStyle w:val="ListBullet"/>
        <w:spacing w:after="40"/>
      </w:pPr>
      <w:r>
        <w:rPr>
          <w:color w:val="6B7178"/>
          <w:sz w:val="20"/>
        </w:rPr>
        <w:t>About 13,000 visitors a month. A typical customer stays about 4 months.</w:t>
      </w:r>
    </w:p>
    <w:p>
      <w:pPr>
        <w:pStyle w:val="ListBullet"/>
        <w:spacing w:after="40"/>
      </w:pPr>
      <w:r>
        <w:rPr>
          <w:color w:val="6B7178"/>
          <w:sz w:val="20"/>
        </w:rPr>
        <w:t>The Comeback Deal got about 6 out of 100 sign ups here before.</w:t>
      </w:r>
    </w:p>
    <w:p>
      <w:pPr>
        <w:pStyle w:val="ListBullet"/>
        <w:spacing w:after="40"/>
      </w:pPr>
      <w:r>
        <w:rPr>
          <w:color w:val="6B7178"/>
          <w:sz w:val="20"/>
        </w:rPr>
        <w:t>The $1 Trial is new to Numin. The 33 out of 100 number is from another brand. We planned with 20 to be safe.</w:t>
      </w:r>
    </w:p>
    <w:p>
      <w:pPr>
        <w:pStyle w:val="ListBullet"/>
        <w:spacing w:after="40"/>
      </w:pPr>
      <w:r>
        <w:rPr>
          <w:color w:val="6B7178"/>
          <w:sz w:val="20"/>
        </w:rPr>
        <w:t>Customer worth: about $108 if they stay 4 months, $162 for 6 months, $324 for a full year. Most do not stay a full year yet.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