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52C7" w:rsidRDefault="001D1314" w:rsidP="00F452C7">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Genome Architecture Analysis of L</w:t>
      </w:r>
      <w:r>
        <w:rPr>
          <w:rFonts w:ascii="Times New Roman" w:eastAsia="Times New Roman" w:hAnsi="Times New Roman" w:cs="Times New Roman"/>
          <w:b/>
          <w:i/>
          <w:sz w:val="24"/>
          <w:szCs w:val="24"/>
        </w:rPr>
        <w:t>isteria monocytogenes</w:t>
      </w:r>
    </w:p>
    <w:p w:rsidR="00F452C7" w:rsidRDefault="00F452C7" w:rsidP="00F452C7">
      <w:pPr>
        <w:spacing w:line="240" w:lineRule="auto"/>
        <w:jc w:val="center"/>
        <w:rPr>
          <w:rFonts w:ascii="Times New Roman" w:eastAsia="Times New Roman" w:hAnsi="Times New Roman" w:cs="Times New Roman"/>
          <w:b/>
          <w:i/>
          <w:sz w:val="24"/>
          <w:szCs w:val="24"/>
        </w:rPr>
      </w:pPr>
    </w:p>
    <w:p w:rsidR="007825A7" w:rsidRDefault="001D13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825A7" w:rsidRDefault="001D13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Listeria monocytogenes (LM</w:t>
      </w:r>
      <w:r>
        <w:rPr>
          <w:rFonts w:ascii="Times New Roman" w:eastAsia="Times New Roman" w:hAnsi="Times New Roman" w:cs="Times New Roman"/>
          <w:sz w:val="24"/>
          <w:szCs w:val="24"/>
        </w:rPr>
        <w:t>) is a pathogenic gram-positive bacterium that is known as one of the most virulent foodborne pathogens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Listeriosis in humans and ruminants is the root of abortion, septicemia, gastroenteritis, and central nervous system (CNS) infections (</w:t>
      </w:r>
      <w:r>
        <w:rPr>
          <w:rFonts w:ascii="Times New Roman" w:eastAsia="Times New Roman" w:hAnsi="Times New Roman" w:cs="Times New Roman"/>
          <w:i/>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Liste</w:t>
      </w:r>
      <w:r>
        <w:rPr>
          <w:rFonts w:ascii="Times New Roman" w:eastAsia="Times New Roman" w:hAnsi="Times New Roman" w:cs="Times New Roman"/>
          <w:i/>
          <w:sz w:val="24"/>
          <w:szCs w:val="24"/>
        </w:rPr>
        <w:t>ria monocytogenes</w:t>
      </w:r>
      <w:r>
        <w:rPr>
          <w:rFonts w:ascii="Times New Roman" w:eastAsia="Times New Roman" w:hAnsi="Times New Roman" w:cs="Times New Roman"/>
          <w:sz w:val="24"/>
          <w:szCs w:val="24"/>
        </w:rPr>
        <w:t xml:space="preserve"> strains are grouped into four distinct phylogenetic lineages, I, II, III and IV (</w:t>
      </w:r>
      <w:r>
        <w:rPr>
          <w:rFonts w:ascii="Times New Roman" w:eastAsia="Times New Roman" w:hAnsi="Times New Roman" w:cs="Times New Roman"/>
          <w:i/>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w:t>
      </w:r>
      <w:r>
        <w:rPr>
          <w:rFonts w:ascii="Times New Roman" w:eastAsia="Times New Roman" w:hAnsi="Times New Roman" w:cs="Times New Roman"/>
          <w:sz w:val="24"/>
          <w:szCs w:val="24"/>
        </w:rPr>
        <w:t xml:space="preserve">). In general, the </w:t>
      </w:r>
      <w:r>
        <w:rPr>
          <w:rFonts w:ascii="Times New Roman" w:eastAsia="Times New Roman" w:hAnsi="Times New Roman" w:cs="Times New Roman"/>
          <w:i/>
          <w:sz w:val="24"/>
          <w:szCs w:val="24"/>
        </w:rPr>
        <w:t>LM</w:t>
      </w:r>
      <w:r>
        <w:rPr>
          <w:rFonts w:ascii="Times New Roman" w:eastAsia="Times New Roman" w:hAnsi="Times New Roman" w:cs="Times New Roman"/>
          <w:sz w:val="24"/>
          <w:szCs w:val="24"/>
        </w:rPr>
        <w:t xml:space="preserve"> strains of lineage I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associated with CNS infections in humans and animals, while strains belonging to lineage II typically clus</w:t>
      </w:r>
      <w:r>
        <w:rPr>
          <w:rFonts w:ascii="Times New Roman" w:eastAsia="Times New Roman" w:hAnsi="Times New Roman" w:cs="Times New Roman"/>
          <w:sz w:val="24"/>
          <w:szCs w:val="24"/>
        </w:rPr>
        <w:t>ters food and environmental strains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 The goal of this experiment was to map sequenced reads from </w:t>
      </w:r>
      <w:r>
        <w:rPr>
          <w:rFonts w:ascii="Times New Roman" w:eastAsia="Times New Roman" w:hAnsi="Times New Roman" w:cs="Times New Roman"/>
          <w:i/>
          <w:sz w:val="24"/>
          <w:szCs w:val="24"/>
        </w:rPr>
        <w:t xml:space="preserve">LM </w:t>
      </w:r>
      <w:r>
        <w:rPr>
          <w:rFonts w:ascii="Times New Roman" w:eastAsia="Times New Roman" w:hAnsi="Times New Roman" w:cs="Times New Roman"/>
          <w:sz w:val="24"/>
          <w:szCs w:val="24"/>
        </w:rPr>
        <w:t>(LMNC088)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lineage II strain to </w:t>
      </w:r>
      <w:r>
        <w:rPr>
          <w:rFonts w:ascii="Times New Roman" w:eastAsia="Times New Roman" w:hAnsi="Times New Roman" w:cs="Times New Roman"/>
          <w:i/>
          <w:sz w:val="24"/>
          <w:szCs w:val="24"/>
        </w:rPr>
        <w:t xml:space="preserve">LM </w:t>
      </w:r>
      <w:r>
        <w:rPr>
          <w:rFonts w:ascii="Times New Roman" w:eastAsia="Times New Roman" w:hAnsi="Times New Roman" w:cs="Times New Roman"/>
          <w:sz w:val="24"/>
          <w:szCs w:val="24"/>
        </w:rPr>
        <w:t>(JF5861) lineage I reference strain in order to identify the number of single nucleotide polymorphisms (SNP) and in</w:t>
      </w:r>
      <w:r>
        <w:rPr>
          <w:rFonts w:ascii="Times New Roman" w:eastAsia="Times New Roman" w:hAnsi="Times New Roman" w:cs="Times New Roman"/>
          <w:sz w:val="24"/>
          <w:szCs w:val="24"/>
        </w:rPr>
        <w:t xml:space="preserve">sertions/deletions (indels) in genomic structure. The significance of this study is to identify genetic variability between lineage I and lineage II strains of </w:t>
      </w:r>
      <w:r>
        <w:rPr>
          <w:rFonts w:ascii="Times New Roman" w:eastAsia="Times New Roman" w:hAnsi="Times New Roman" w:cs="Times New Roman"/>
          <w:i/>
          <w:sz w:val="24"/>
          <w:szCs w:val="24"/>
        </w:rPr>
        <w:t>LM</w:t>
      </w:r>
      <w:r>
        <w:rPr>
          <w:rFonts w:ascii="Times New Roman" w:eastAsia="Times New Roman" w:hAnsi="Times New Roman" w:cs="Times New Roman"/>
          <w:sz w:val="24"/>
          <w:szCs w:val="24"/>
        </w:rPr>
        <w:t>. The purpose is to identify possible genomic characteristics in an environmental lineage II s</w:t>
      </w:r>
      <w:r>
        <w:rPr>
          <w:rFonts w:ascii="Times New Roman" w:eastAsia="Times New Roman" w:hAnsi="Times New Roman" w:cs="Times New Roman"/>
          <w:sz w:val="24"/>
          <w:szCs w:val="24"/>
        </w:rPr>
        <w:t xml:space="preserve">train that may differentiate it from the human-virulent lineage I strain using comparative genomic tools. </w:t>
      </w:r>
    </w:p>
    <w:p w:rsidR="00F452C7" w:rsidRDefault="00F452C7">
      <w:pPr>
        <w:spacing w:line="240" w:lineRule="auto"/>
        <w:ind w:firstLine="720"/>
        <w:jc w:val="both"/>
        <w:rPr>
          <w:rFonts w:ascii="Times New Roman" w:eastAsia="Times New Roman" w:hAnsi="Times New Roman" w:cs="Times New Roman"/>
          <w:sz w:val="24"/>
          <w:szCs w:val="24"/>
        </w:rPr>
      </w:pPr>
    </w:p>
    <w:p w:rsidR="007825A7" w:rsidRDefault="001D131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RESPONSE TO REVIEWERS </w:t>
      </w:r>
    </w:p>
    <w:p w:rsidR="00F452C7" w:rsidRDefault="001D13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Authors appreciate the comments and helpful suggestions from reviewers. We took the time to consider them to make our project</w:t>
      </w:r>
      <w:r>
        <w:rPr>
          <w:rFonts w:ascii="Times New Roman" w:eastAsia="Times New Roman" w:hAnsi="Times New Roman" w:cs="Times New Roman"/>
          <w:sz w:val="24"/>
          <w:szCs w:val="24"/>
        </w:rPr>
        <w:t xml:space="preserve"> more meaningful, clear and innovative. The p-value included in the decision making on the variant call has been re-considered. In the variant calling in SAMtools, the probability based on Bayesian model is implemented. The depth of each variant is an impo</w:t>
      </w:r>
      <w:r>
        <w:rPr>
          <w:rFonts w:ascii="Times New Roman" w:eastAsia="Times New Roman" w:hAnsi="Times New Roman" w:cs="Times New Roman"/>
          <w:sz w:val="24"/>
          <w:szCs w:val="24"/>
        </w:rPr>
        <w:t>rtant factor in the determination of error. The p-value is calculated for each individual variant to assist with the decision by providing an estimate of likelihood of the call being called incorrectly. The null hypothesis (Ho) is the variant call is incor</w:t>
      </w:r>
      <w:r>
        <w:rPr>
          <w:rFonts w:ascii="Times New Roman" w:eastAsia="Times New Roman" w:hAnsi="Times New Roman" w:cs="Times New Roman"/>
          <w:sz w:val="24"/>
          <w:szCs w:val="24"/>
        </w:rPr>
        <w:t>rect. Alternative hypothesis the particular variant call is correct. Small p-value represents the probability we (or software) call the variant (reject the Ho), if it is truly an error. Smaller the p-value, the smaller chance the variant was called incorre</w:t>
      </w:r>
      <w:r>
        <w:rPr>
          <w:rFonts w:ascii="Times New Roman" w:eastAsia="Times New Roman" w:hAnsi="Times New Roman" w:cs="Times New Roman"/>
          <w:sz w:val="24"/>
          <w:szCs w:val="24"/>
        </w:rPr>
        <w:t>ctly. We initially planned on using the cut-off p-value 0.05, but in that case, some corresponding quality scores (QS) are below 20, so we adjusted our decision to p-value 0.01. This way, keeping the cut-off point 0.01, all the variants with QS less than 2</w:t>
      </w:r>
      <w:r>
        <w:rPr>
          <w:rFonts w:ascii="Times New Roman" w:eastAsia="Times New Roman" w:hAnsi="Times New Roman" w:cs="Times New Roman"/>
          <w:sz w:val="24"/>
          <w:szCs w:val="24"/>
        </w:rPr>
        <w:t xml:space="preserve">0 will be excluded. The mathematical relationship of QS and p-value </w:t>
      </w:r>
      <w:r w:rsidR="00F452C7">
        <w:rPr>
          <w:rFonts w:ascii="Times New Roman" w:eastAsia="Times New Roman" w:hAnsi="Times New Roman" w:cs="Times New Roman"/>
          <w:sz w:val="24"/>
          <w:szCs w:val="24"/>
        </w:rPr>
        <w:t>is QS</w:t>
      </w:r>
      <w:r>
        <w:rPr>
          <w:rFonts w:ascii="Times New Roman" w:eastAsia="Times New Roman" w:hAnsi="Times New Roman" w:cs="Times New Roman"/>
          <w:sz w:val="24"/>
          <w:szCs w:val="24"/>
        </w:rPr>
        <w:t xml:space="preserve"> = -10*log(prob(call)), where prob(call) is the probability that the variant call is incorrect.</w:t>
      </w:r>
      <w:r w:rsidR="00F452C7">
        <w:rPr>
          <w:rFonts w:ascii="Times New Roman" w:eastAsia="Times New Roman" w:hAnsi="Times New Roman" w:cs="Times New Roman"/>
          <w:sz w:val="24"/>
          <w:szCs w:val="24"/>
        </w:rPr>
        <w:t xml:space="preserve"> Therefore,</w:t>
      </w:r>
      <w:r>
        <w:rPr>
          <w:rFonts w:ascii="Times New Roman" w:eastAsia="Times New Roman" w:hAnsi="Times New Roman" w:cs="Times New Roman"/>
          <w:sz w:val="24"/>
          <w:szCs w:val="24"/>
        </w:rPr>
        <w:t xml:space="preserve"> one really needs just one or the other for the decision. The correction in the lang</w:t>
      </w:r>
      <w:r>
        <w:rPr>
          <w:rFonts w:ascii="Times New Roman" w:eastAsia="Times New Roman" w:hAnsi="Times New Roman" w:cs="Times New Roman"/>
          <w:sz w:val="24"/>
          <w:szCs w:val="24"/>
        </w:rPr>
        <w:t>uage of p-value being “biologically relevant” was applied in the proposal.</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The biological significance of the variant would be determined in future steps, such as amino acid codon analysis and annotation of the variants, for example, is this variant found </w:t>
      </w:r>
      <w:r>
        <w:rPr>
          <w:rFonts w:ascii="Times New Roman" w:eastAsia="Times New Roman" w:hAnsi="Times New Roman" w:cs="Times New Roman"/>
          <w:sz w:val="24"/>
          <w:szCs w:val="24"/>
        </w:rPr>
        <w:t xml:space="preserve">possibly related to special proteins called </w:t>
      </w:r>
      <w:proofErr w:type="spellStart"/>
      <w:r>
        <w:rPr>
          <w:rFonts w:ascii="Times New Roman" w:eastAsia="Times New Roman" w:hAnsi="Times New Roman" w:cs="Times New Roman"/>
          <w:sz w:val="24"/>
          <w:szCs w:val="24"/>
        </w:rPr>
        <w:t>internalins</w:t>
      </w:r>
      <w:proofErr w:type="spellEnd"/>
      <w:r>
        <w:rPr>
          <w:rFonts w:ascii="Times New Roman" w:eastAsia="Times New Roman" w:hAnsi="Times New Roman" w:cs="Times New Roman"/>
          <w:sz w:val="24"/>
          <w:szCs w:val="24"/>
        </w:rPr>
        <w:t xml:space="preserve">, which </w:t>
      </w:r>
      <w:r>
        <w:rPr>
          <w:rFonts w:ascii="Times New Roman" w:eastAsia="Times New Roman" w:hAnsi="Times New Roman" w:cs="Times New Roman"/>
          <w:i/>
          <w:sz w:val="24"/>
          <w:szCs w:val="24"/>
        </w:rPr>
        <w:t>LM</w:t>
      </w:r>
      <w:r>
        <w:rPr>
          <w:rFonts w:ascii="Times New Roman" w:eastAsia="Times New Roman" w:hAnsi="Times New Roman" w:cs="Times New Roman"/>
          <w:sz w:val="24"/>
          <w:szCs w:val="24"/>
        </w:rPr>
        <w:t xml:space="preserve"> use for attachment to the host, colonization and cell-to-cell spread. In terms of the innovative portion of our project, the main objective was to identify genomic variants amongst two strai</w:t>
      </w:r>
      <w:r>
        <w:rPr>
          <w:rFonts w:ascii="Times New Roman" w:eastAsia="Times New Roman" w:hAnsi="Times New Roman" w:cs="Times New Roman"/>
          <w:sz w:val="24"/>
          <w:szCs w:val="24"/>
        </w:rPr>
        <w:t xml:space="preserve">ns of </w:t>
      </w:r>
      <w:r>
        <w:rPr>
          <w:rFonts w:ascii="Times New Roman" w:eastAsia="Times New Roman" w:hAnsi="Times New Roman" w:cs="Times New Roman"/>
          <w:i/>
          <w:sz w:val="24"/>
          <w:szCs w:val="24"/>
        </w:rPr>
        <w:t xml:space="preserve">LM, </w:t>
      </w:r>
      <w:r>
        <w:rPr>
          <w:rFonts w:ascii="Times New Roman" w:eastAsia="Times New Roman" w:hAnsi="Times New Roman" w:cs="Times New Roman"/>
          <w:sz w:val="24"/>
          <w:szCs w:val="24"/>
        </w:rPr>
        <w:t>specifically identifying SNPs and indels. The objective was not to focus on specific genes associated with virulence.</w:t>
      </w:r>
    </w:p>
    <w:p w:rsidR="00F452C7" w:rsidRPr="00F452C7" w:rsidRDefault="00F452C7">
      <w:pPr>
        <w:spacing w:line="240" w:lineRule="auto"/>
        <w:jc w:val="both"/>
        <w:rPr>
          <w:rFonts w:ascii="Times New Roman" w:eastAsia="Times New Roman" w:hAnsi="Times New Roman" w:cs="Times New Roman"/>
          <w:sz w:val="24"/>
          <w:szCs w:val="24"/>
        </w:rPr>
      </w:pPr>
    </w:p>
    <w:p w:rsidR="00F452C7" w:rsidRDefault="001D13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rsidR="007825A7" w:rsidRDefault="001D131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Data Retrieval</w:t>
      </w:r>
    </w:p>
    <w:p w:rsidR="00F452C7" w:rsidRDefault="001D13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address the genetic separation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whole genome sequencing (WGS) was conducted on isolates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Genome mapping was performed </w:t>
      </w:r>
      <w:r>
        <w:rPr>
          <w:rFonts w:ascii="Times New Roman" w:eastAsia="Times New Roman" w:hAnsi="Times New Roman" w:cs="Times New Roman"/>
          <w:i/>
          <w:sz w:val="24"/>
          <w:szCs w:val="24"/>
        </w:rPr>
        <w:t>in silico</w:t>
      </w:r>
      <w:r>
        <w:rPr>
          <w:rFonts w:ascii="Times New Roman" w:eastAsia="Times New Roman" w:hAnsi="Times New Roman" w:cs="Times New Roman"/>
          <w:sz w:val="24"/>
          <w:szCs w:val="24"/>
        </w:rPr>
        <w:t xml:space="preserve"> by utilizing a Illumina </w:t>
      </w:r>
      <w:proofErr w:type="spellStart"/>
      <w:r>
        <w:rPr>
          <w:rFonts w:ascii="Times New Roman" w:eastAsia="Times New Roman" w:hAnsi="Times New Roman" w:cs="Times New Roman"/>
          <w:sz w:val="24"/>
          <w:szCs w:val="24"/>
        </w:rPr>
        <w:t>HiSeq</w:t>
      </w:r>
      <w:proofErr w:type="spellEnd"/>
      <w:r>
        <w:rPr>
          <w:rFonts w:ascii="Times New Roman" w:eastAsia="Times New Roman" w:hAnsi="Times New Roman" w:cs="Times New Roman"/>
          <w:sz w:val="24"/>
          <w:szCs w:val="24"/>
        </w:rPr>
        <w:t xml:space="preserve"> sequencing dataset for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(Accession: </w:t>
      </w:r>
      <w:hyperlink r:id="rId8">
        <w:r>
          <w:rPr>
            <w:rFonts w:ascii="Times New Roman" w:eastAsia="Times New Roman" w:hAnsi="Times New Roman" w:cs="Times New Roman"/>
            <w:sz w:val="24"/>
            <w:szCs w:val="24"/>
            <w:highlight w:val="white"/>
          </w:rPr>
          <w:t>ERX2192466</w:t>
        </w:r>
      </w:hyperlink>
      <w:r>
        <w:rPr>
          <w:rFonts w:ascii="Times New Roman" w:eastAsia="Times New Roman" w:hAnsi="Times New Roman" w:cs="Times New Roman"/>
          <w:sz w:val="24"/>
          <w:szCs w:val="24"/>
        </w:rPr>
        <w:t xml:space="preserve">) </w:t>
      </w:r>
      <w:r w:rsidR="00F452C7">
        <w:rPr>
          <w:rFonts w:ascii="Times New Roman" w:eastAsia="Times New Roman" w:hAnsi="Times New Roman" w:cs="Times New Roman"/>
          <w:sz w:val="24"/>
          <w:szCs w:val="24"/>
        </w:rPr>
        <w:br w:type="page"/>
      </w:r>
    </w:p>
    <w:p w:rsidR="00F452C7" w:rsidRDefault="00F452C7" w:rsidP="00F452C7">
      <w:pPr>
        <w:spacing w:line="240" w:lineRule="auto"/>
        <w:jc w:val="both"/>
        <w:rPr>
          <w:rFonts w:ascii="Times New Roman" w:eastAsia="Times New Roman" w:hAnsi="Times New Roman" w:cs="Times New Roman"/>
          <w:sz w:val="24"/>
          <w:szCs w:val="24"/>
        </w:rPr>
        <w:sectPr w:rsidR="00F452C7">
          <w:headerReference w:type="default" r:id="rId9"/>
          <w:footerReference w:type="even" r:id="rId10"/>
          <w:footerReference w:type="default" r:id="rId11"/>
          <w:footerReference w:type="first" r:id="rId12"/>
          <w:pgSz w:w="12240" w:h="15840"/>
          <w:pgMar w:top="1440" w:right="1440" w:bottom="1440" w:left="1440" w:header="720" w:footer="720" w:gutter="0"/>
          <w:pgNumType w:start="1"/>
          <w:cols w:space="720"/>
        </w:sectPr>
      </w:pPr>
    </w:p>
    <w:p w:rsidR="00F452C7" w:rsidRDefault="001D1314" w:rsidP="00F452C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available from the NCBI Sequence Read Archive (SRA) in fastq.gz file format. Paired end sequencing was conducted on a </w:t>
      </w:r>
      <w:r>
        <w:rPr>
          <w:rFonts w:ascii="Times New Roman" w:eastAsia="Times New Roman" w:hAnsi="Times New Roman" w:cs="Times New Roman"/>
          <w:i/>
          <w:sz w:val="24"/>
          <w:szCs w:val="24"/>
        </w:rPr>
        <w:t xml:space="preserve">L. monocytogenes </w:t>
      </w:r>
      <w:r>
        <w:rPr>
          <w:rFonts w:ascii="Times New Roman" w:eastAsia="Times New Roman" w:hAnsi="Times New Roman" w:cs="Times New Roman"/>
          <w:sz w:val="24"/>
          <w:szCs w:val="24"/>
        </w:rPr>
        <w:t xml:space="preserve">isolate using </w:t>
      </w:r>
      <w:r>
        <w:rPr>
          <w:rFonts w:ascii="Times New Roman" w:eastAsia="Times New Roman" w:hAnsi="Times New Roman" w:cs="Times New Roman"/>
          <w:sz w:val="24"/>
          <w:szCs w:val="24"/>
          <w:highlight w:val="white"/>
        </w:rPr>
        <w:t xml:space="preserve">Illumina </w:t>
      </w:r>
      <w:proofErr w:type="spellStart"/>
      <w:r>
        <w:rPr>
          <w:rFonts w:ascii="Times New Roman" w:eastAsia="Times New Roman" w:hAnsi="Times New Roman" w:cs="Times New Roman"/>
          <w:sz w:val="24"/>
          <w:szCs w:val="24"/>
          <w:highlight w:val="white"/>
        </w:rPr>
        <w:t>HiSeq</w:t>
      </w:r>
      <w:proofErr w:type="spellEnd"/>
      <w:r>
        <w:rPr>
          <w:rFonts w:ascii="Times New Roman" w:eastAsia="Times New Roman" w:hAnsi="Times New Roman" w:cs="Times New Roman"/>
          <w:sz w:val="24"/>
          <w:szCs w:val="24"/>
          <w:highlight w:val="white"/>
        </w:rPr>
        <w:t xml:space="preserve"> and resulted in a data file consisting of 2.5M spots, 755.8M ba</w:t>
      </w:r>
      <w:r>
        <w:rPr>
          <w:rFonts w:ascii="Times New Roman" w:eastAsia="Times New Roman" w:hAnsi="Times New Roman" w:cs="Times New Roman"/>
          <w:sz w:val="24"/>
          <w:szCs w:val="24"/>
          <w:highlight w:val="white"/>
        </w:rPr>
        <w:t>ses, and 336.3Mb of downloads</w:t>
      </w:r>
      <w:r>
        <w:rPr>
          <w:rFonts w:ascii="Times New Roman" w:eastAsia="Times New Roman" w:hAnsi="Times New Roman" w:cs="Times New Roman"/>
          <w:sz w:val="24"/>
          <w:szCs w:val="24"/>
        </w:rPr>
        <w:t>.</w:t>
      </w:r>
      <w:r w:rsidR="00F4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reads (</w:t>
      </w:r>
      <w:hyperlink r:id="rId13">
        <w:r>
          <w:rPr>
            <w:rFonts w:ascii="Times New Roman" w:eastAsia="Times New Roman" w:hAnsi="Times New Roman" w:cs="Times New Roman"/>
            <w:sz w:val="24"/>
            <w:szCs w:val="24"/>
            <w:highlight w:val="white"/>
          </w:rPr>
          <w:t>ERX2192466</w:t>
        </w:r>
      </w:hyperlink>
      <w:r>
        <w:rPr>
          <w:rFonts w:ascii="Times New Roman" w:eastAsia="Times New Roman" w:hAnsi="Times New Roman" w:cs="Times New Roman"/>
          <w:sz w:val="24"/>
          <w:szCs w:val="24"/>
        </w:rPr>
        <w:t xml:space="preserve">) were mapped to the reference genome,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(Accession: JF5861 complete genome) which is available fr</w:t>
      </w:r>
      <w:r>
        <w:rPr>
          <w:rFonts w:ascii="Times New Roman" w:eastAsia="Times New Roman" w:hAnsi="Times New Roman" w:cs="Times New Roman"/>
          <w:sz w:val="24"/>
          <w:szCs w:val="24"/>
        </w:rPr>
        <w:t>om NCBI’s Assembly platform in the .</w:t>
      </w:r>
      <w:proofErr w:type="spellStart"/>
      <w:r>
        <w:rPr>
          <w:rFonts w:ascii="Times New Roman" w:eastAsia="Times New Roman" w:hAnsi="Times New Roman" w:cs="Times New Roman"/>
          <w:sz w:val="24"/>
          <w:szCs w:val="24"/>
        </w:rPr>
        <w:t>fna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gff</w:t>
      </w:r>
      <w:proofErr w:type="spellEnd"/>
      <w:r>
        <w:rPr>
          <w:rFonts w:ascii="Times New Roman" w:eastAsia="Times New Roman" w:hAnsi="Times New Roman" w:cs="Times New Roman"/>
          <w:sz w:val="24"/>
          <w:szCs w:val="24"/>
        </w:rPr>
        <w:t xml:space="preserve"> file format. This is an assembled, complete genome with full genome representation, submitted by University of Bern (Switzerland). The reference genome consists of one chromosome and total </w:t>
      </w:r>
      <w:proofErr w:type="spellStart"/>
      <w:r>
        <w:rPr>
          <w:rFonts w:ascii="Times New Roman" w:eastAsia="Times New Roman" w:hAnsi="Times New Roman" w:cs="Times New Roman"/>
          <w:sz w:val="24"/>
          <w:szCs w:val="24"/>
        </w:rPr>
        <w:t>ungapped</w:t>
      </w:r>
      <w:proofErr w:type="spellEnd"/>
      <w:r>
        <w:rPr>
          <w:rFonts w:ascii="Times New Roman" w:eastAsia="Times New Roman" w:hAnsi="Times New Roman" w:cs="Times New Roman"/>
          <w:sz w:val="24"/>
          <w:szCs w:val="24"/>
        </w:rPr>
        <w:t xml:space="preserve"> length of 2,9</w:t>
      </w:r>
      <w:r>
        <w:rPr>
          <w:rFonts w:ascii="Times New Roman" w:eastAsia="Times New Roman" w:hAnsi="Times New Roman" w:cs="Times New Roman"/>
          <w:sz w:val="24"/>
          <w:szCs w:val="24"/>
        </w:rPr>
        <w:t xml:space="preserve">13,696 bp. </w:t>
      </w:r>
    </w:p>
    <w:p w:rsidR="00F452C7" w:rsidRDefault="001D1314" w:rsidP="00F452C7">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Quality Control Processing </w:t>
      </w:r>
      <w:r w:rsidR="00F452C7">
        <w:rPr>
          <w:rFonts w:ascii="Times New Roman" w:eastAsia="Times New Roman" w:hAnsi="Times New Roman" w:cs="Times New Roman"/>
          <w:b/>
          <w:i/>
          <w:sz w:val="24"/>
          <w:szCs w:val="24"/>
        </w:rPr>
        <w:t>(</w:t>
      </w:r>
      <w:proofErr w:type="spellStart"/>
      <w:r>
        <w:rPr>
          <w:rFonts w:ascii="Times New Roman" w:eastAsia="Times New Roman" w:hAnsi="Times New Roman" w:cs="Times New Roman"/>
          <w:i/>
          <w:sz w:val="24"/>
          <w:szCs w:val="24"/>
        </w:rPr>
        <w:t>Fastqc</w:t>
      </w:r>
      <w:proofErr w:type="spellEnd"/>
      <w:r>
        <w:rPr>
          <w:rFonts w:ascii="Times New Roman" w:eastAsia="Times New Roman" w:hAnsi="Times New Roman" w:cs="Times New Roman"/>
          <w:i/>
          <w:sz w:val="24"/>
          <w:szCs w:val="24"/>
        </w:rPr>
        <w:t xml:space="preserve"> v0.11.7 and Trimmomatic v0.38</w:t>
      </w:r>
      <w:r w:rsidR="00F452C7">
        <w:rPr>
          <w:rFonts w:ascii="Times New Roman" w:eastAsia="Times New Roman" w:hAnsi="Times New Roman" w:cs="Times New Roman"/>
          <w:i/>
          <w:sz w:val="24"/>
          <w:szCs w:val="24"/>
        </w:rPr>
        <w:t>)</w:t>
      </w:r>
    </w:p>
    <w:p w:rsidR="007825A7" w:rsidRDefault="001D1314" w:rsidP="00F452C7">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mean coverage calculation for lineage II raw data revealed 260x genome coverage (2,512,294*151*2)/2,913,696) with respect to the reference genome (lineage I strain), which was</w:t>
      </w:r>
      <w:r>
        <w:rPr>
          <w:rFonts w:ascii="Times New Roman" w:eastAsia="Times New Roman" w:hAnsi="Times New Roman" w:cs="Times New Roman"/>
          <w:sz w:val="24"/>
          <w:szCs w:val="24"/>
        </w:rPr>
        <w:t xml:space="preserve"> estimated to be sufficient depth for mapping and to determine unbiased statistical estimates of genomic variability. The preliminary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report of the L. monocytogenes lineage II dataset exhibited that reads decline in quality (</w:t>
      </w:r>
      <w:r w:rsidR="00F452C7">
        <w:rPr>
          <w:rFonts w:ascii="Times New Roman" w:eastAsia="Times New Roman" w:hAnsi="Times New Roman" w:cs="Times New Roman"/>
          <w:sz w:val="24"/>
          <w:szCs w:val="24"/>
        </w:rPr>
        <w:t xml:space="preserve">Q &lt; </w:t>
      </w:r>
      <w:r>
        <w:rPr>
          <w:rFonts w:ascii="Times New Roman" w:eastAsia="Times New Roman" w:hAnsi="Times New Roman" w:cs="Times New Roman"/>
          <w:sz w:val="24"/>
          <w:szCs w:val="24"/>
        </w:rPr>
        <w:t>30) near the 3’ e</w:t>
      </w:r>
      <w:r>
        <w:rPr>
          <w:rFonts w:ascii="Times New Roman" w:eastAsia="Times New Roman" w:hAnsi="Times New Roman" w:cs="Times New Roman"/>
          <w:sz w:val="24"/>
          <w:szCs w:val="24"/>
        </w:rPr>
        <w:t xml:space="preserve">nd. </w:t>
      </w:r>
      <w:r>
        <w:rPr>
          <w:rFonts w:ascii="Times New Roman" w:eastAsia="Times New Roman" w:hAnsi="Times New Roman" w:cs="Times New Roman"/>
          <w:b/>
          <w:sz w:val="24"/>
          <w:szCs w:val="24"/>
        </w:rPr>
        <w:t xml:space="preserve">Figure 1A </w:t>
      </w:r>
      <w:r>
        <w:rPr>
          <w:rFonts w:ascii="Times New Roman" w:eastAsia="Times New Roman" w:hAnsi="Times New Roman" w:cs="Times New Roman"/>
          <w:sz w:val="24"/>
          <w:szCs w:val="24"/>
        </w:rPr>
        <w:t xml:space="preserve">depicts read 1 base quality scores, the quality score reduced at about position 135, as shown by the variability of &gt;135 bp position appearing in the yellow zone (mid/low quality reads). </w:t>
      </w:r>
      <w:r>
        <w:rPr>
          <w:rFonts w:ascii="Times New Roman" w:eastAsia="Times New Roman" w:hAnsi="Times New Roman" w:cs="Times New Roman"/>
          <w:b/>
          <w:sz w:val="24"/>
          <w:szCs w:val="24"/>
        </w:rPr>
        <w:t xml:space="preserve">Figure 1B </w:t>
      </w:r>
      <w:r>
        <w:rPr>
          <w:rFonts w:ascii="Times New Roman" w:eastAsia="Times New Roman" w:hAnsi="Times New Roman" w:cs="Times New Roman"/>
          <w:sz w:val="24"/>
          <w:szCs w:val="24"/>
        </w:rPr>
        <w:t>illustrates read 2 base quality scores having poorer quality than read 1, with the base quality scores declining at about position 100, with the mean base quality scores &gt;</w:t>
      </w:r>
      <w:r w:rsidR="00F4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 bp position appearing in the red zone (low quality reads). Trimmomatic was utiliz</w:t>
      </w:r>
      <w:r>
        <w:rPr>
          <w:rFonts w:ascii="Times New Roman" w:eastAsia="Times New Roman" w:hAnsi="Times New Roman" w:cs="Times New Roman"/>
          <w:sz w:val="24"/>
          <w:szCs w:val="24"/>
        </w:rPr>
        <w:t xml:space="preserve">ed to trim the 3’ end of both reads to 100 bp in order to reduce the chance of calling rare SNPs and noise. This resulted in the genomic coverage of 172x (2,510,242*100*2)/2,913,696). </w:t>
      </w:r>
      <w:r>
        <w:rPr>
          <w:rFonts w:ascii="Times New Roman" w:eastAsia="Times New Roman" w:hAnsi="Times New Roman" w:cs="Times New Roman"/>
          <w:b/>
          <w:sz w:val="24"/>
          <w:szCs w:val="24"/>
        </w:rPr>
        <w:t xml:space="preserve">Figure 1C </w:t>
      </w:r>
      <w:r>
        <w:rPr>
          <w:rFonts w:ascii="Times New Roman" w:eastAsia="Times New Roman" w:hAnsi="Times New Roman" w:cs="Times New Roman"/>
          <w:sz w:val="24"/>
          <w:szCs w:val="24"/>
        </w:rPr>
        <w:t>depicts the base quality score results for read 1 after trimmi</w:t>
      </w:r>
      <w:r>
        <w:rPr>
          <w:rFonts w:ascii="Times New Roman" w:eastAsia="Times New Roman" w:hAnsi="Times New Roman" w:cs="Times New Roman"/>
          <w:sz w:val="24"/>
          <w:szCs w:val="24"/>
        </w:rPr>
        <w:t xml:space="preserve">ng to 100 bp, all reads are found in the green zone (high quality reads). </w:t>
      </w:r>
      <w:r>
        <w:rPr>
          <w:rFonts w:ascii="Times New Roman" w:eastAsia="Times New Roman" w:hAnsi="Times New Roman" w:cs="Times New Roman"/>
          <w:b/>
          <w:sz w:val="24"/>
          <w:szCs w:val="24"/>
        </w:rPr>
        <w:t xml:space="preserve">Figure 1D </w:t>
      </w:r>
      <w:r>
        <w:rPr>
          <w:rFonts w:ascii="Times New Roman" w:eastAsia="Times New Roman" w:hAnsi="Times New Roman" w:cs="Times New Roman"/>
          <w:sz w:val="24"/>
          <w:szCs w:val="24"/>
        </w:rPr>
        <w:t>illustrates read 2 base quality scores after trimming to 100 bp, this demonstrates the most desired quality scores with fewer variability of quality scores at each position</w:t>
      </w:r>
      <w:r>
        <w:rPr>
          <w:rFonts w:ascii="Times New Roman" w:eastAsia="Times New Roman" w:hAnsi="Times New Roman" w:cs="Times New Roman"/>
          <w:sz w:val="24"/>
          <w:szCs w:val="24"/>
        </w:rPr>
        <w:t xml:space="preserve"> found in the red zone.          </w:t>
      </w:r>
    </w:p>
    <w:p w:rsidR="007825A7" w:rsidRDefault="00F452C7" w:rsidP="00F452C7">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noProof/>
          <w:sz w:val="24"/>
          <w:szCs w:val="24"/>
        </w:rPr>
        <mc:AlternateContent>
          <mc:Choice Requires="wps">
            <w:drawing>
              <wp:anchor distT="0" distB="0" distL="114300" distR="114300" simplePos="0" relativeHeight="251665408" behindDoc="0" locked="0" layoutInCell="1" allowOverlap="1" wp14:anchorId="077FAA51" wp14:editId="47B5A08B">
                <wp:simplePos x="0" y="0"/>
                <wp:positionH relativeFrom="column">
                  <wp:posOffset>2818485</wp:posOffset>
                </wp:positionH>
                <wp:positionV relativeFrom="paragraph">
                  <wp:posOffset>1647720</wp:posOffset>
                </wp:positionV>
                <wp:extent cx="278130" cy="444617"/>
                <wp:effectExtent l="0" t="0" r="0" b="0"/>
                <wp:wrapNone/>
                <wp:docPr id="4" name="Text Box 4"/>
                <wp:cNvGraphicFramePr/>
                <a:graphic xmlns:a="http://schemas.openxmlformats.org/drawingml/2006/main">
                  <a:graphicData uri="http://schemas.microsoft.com/office/word/2010/wordprocessingShape">
                    <wps:wsp>
                      <wps:cNvSpPr txBox="1"/>
                      <wps:spPr>
                        <a:xfrm>
                          <a:off x="0" y="0"/>
                          <a:ext cx="278130" cy="444617"/>
                        </a:xfrm>
                        <a:prstGeom prst="rect">
                          <a:avLst/>
                        </a:prstGeom>
                        <a:noFill/>
                        <a:ln w="6350">
                          <a:noFill/>
                        </a:ln>
                      </wps:spPr>
                      <wps:txbx>
                        <w:txbxContent>
                          <w:p w:rsidR="00F452C7" w:rsidRPr="00F452C7" w:rsidRDefault="00F452C7" w:rsidP="00F452C7">
                            <w:pPr>
                              <w:rPr>
                                <w:rFonts w:ascii="Times New Roman" w:hAnsi="Times New Roman" w:cs="Times New Roman"/>
                                <w:b/>
                                <w:bCs/>
                                <w:sz w:val="20"/>
                                <w:szCs w:val="20"/>
                                <w:lang w:val="en-US"/>
                              </w:rPr>
                            </w:pPr>
                            <w:r>
                              <w:rPr>
                                <w:rFonts w:ascii="Times New Roman" w:hAnsi="Times New Roman" w:cs="Times New Roman"/>
                                <w:b/>
                                <w:bCs/>
                                <w:sz w:val="20"/>
                                <w:szCs w:val="20"/>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77FAA51" id="_x0000_t202" coordsize="21600,21600" o:spt="202" path="m,l,21600r21600,l21600,xe">
                <v:stroke joinstyle="miter"/>
                <v:path gradientshapeok="t" o:connecttype="rect"/>
              </v:shapetype>
              <v:shape id="Text Box 4" o:spid="_x0000_s1026" type="#_x0000_t202" style="position:absolute;left:0;text-align:left;margin-left:221.95pt;margin-top:129.75pt;width:21.9pt;height: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" filled="f" stroked="f" strokeweight=".5pt">
                <v:textbox>
                  <w:txbxContent>
                    <w:p w:rsidR="00F452C7" w:rsidRPr="00F452C7" w:rsidRDefault="00F452C7" w:rsidP="00F452C7">
                      <w:pPr>
                        <w:rPr>
                          <w:rFonts w:ascii="Times New Roman" w:hAnsi="Times New Roman" w:cs="Times New Roman"/>
                          <w:b/>
                          <w:bCs/>
                          <w:sz w:val="20"/>
                          <w:szCs w:val="20"/>
                          <w:lang w:val="en-US"/>
                        </w:rPr>
                      </w:pPr>
                      <w:r>
                        <w:rPr>
                          <w:rFonts w:ascii="Times New Roman" w:hAnsi="Times New Roman" w:cs="Times New Roman"/>
                          <w:b/>
                          <w:bCs/>
                          <w:sz w:val="20"/>
                          <w:szCs w:val="20"/>
                          <w:lang w:val="en-US"/>
                        </w:rPr>
                        <w:t>D</w:t>
                      </w:r>
                    </w:p>
                  </w:txbxContent>
                </v:textbox>
              </v:shape>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63360" behindDoc="0" locked="0" layoutInCell="1" allowOverlap="1" wp14:anchorId="077FAA51" wp14:editId="47B5A08B">
                <wp:simplePos x="0" y="0"/>
                <wp:positionH relativeFrom="column">
                  <wp:posOffset>548144</wp:posOffset>
                </wp:positionH>
                <wp:positionV relativeFrom="paragraph">
                  <wp:posOffset>1674547</wp:posOffset>
                </wp:positionV>
                <wp:extent cx="278607" cy="300038"/>
                <wp:effectExtent l="0" t="0" r="0" b="0"/>
                <wp:wrapNone/>
                <wp:docPr id="3" name="Text Box 3"/>
                <wp:cNvGraphicFramePr/>
                <a:graphic xmlns:a="http://schemas.openxmlformats.org/drawingml/2006/main">
                  <a:graphicData uri="http://schemas.microsoft.com/office/word/2010/wordprocessingShape">
                    <wps:wsp>
                      <wps:cNvSpPr txBox="1"/>
                      <wps:spPr>
                        <a:xfrm>
                          <a:off x="0" y="0"/>
                          <a:ext cx="278607" cy="300038"/>
                        </a:xfrm>
                        <a:prstGeom prst="rect">
                          <a:avLst/>
                        </a:prstGeom>
                        <a:noFill/>
                        <a:ln w="6350">
                          <a:noFill/>
                        </a:ln>
                      </wps:spPr>
                      <wps:txbx>
                        <w:txbxContent>
                          <w:p w:rsidR="00F452C7" w:rsidRPr="00F452C7" w:rsidRDefault="00F452C7" w:rsidP="00F452C7">
                            <w:pPr>
                              <w:rPr>
                                <w:rFonts w:ascii="Times New Roman" w:hAnsi="Times New Roman" w:cs="Times New Roman"/>
                                <w:b/>
                                <w:bCs/>
                                <w:sz w:val="20"/>
                                <w:szCs w:val="20"/>
                                <w:lang w:val="en-US"/>
                              </w:rPr>
                            </w:pPr>
                            <w:r>
                              <w:rPr>
                                <w:rFonts w:ascii="Times New Roman" w:hAnsi="Times New Roman" w:cs="Times New Roman"/>
                                <w:b/>
                                <w:bCs/>
                                <w:sz w:val="20"/>
                                <w:szCs w:val="20"/>
                                <w:lang w:val="en-U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7FAA51" id="Text Box 3" o:spid="_x0000_s1027" type="#_x0000_t202" style="position:absolute;left:0;text-align:left;margin-left:43.15pt;margin-top:131.85pt;width:21.95pt;height:23.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" filled="f" stroked="f" strokeweight=".5pt">
                <v:textbox>
                  <w:txbxContent>
                    <w:p w:rsidR="00F452C7" w:rsidRPr="00F452C7" w:rsidRDefault="00F452C7" w:rsidP="00F452C7">
                      <w:pPr>
                        <w:rPr>
                          <w:rFonts w:ascii="Times New Roman" w:hAnsi="Times New Roman" w:cs="Times New Roman"/>
                          <w:b/>
                          <w:bCs/>
                          <w:sz w:val="20"/>
                          <w:szCs w:val="20"/>
                          <w:lang w:val="en-US"/>
                        </w:rPr>
                      </w:pPr>
                      <w:r>
                        <w:rPr>
                          <w:rFonts w:ascii="Times New Roman" w:hAnsi="Times New Roman" w:cs="Times New Roman"/>
                          <w:b/>
                          <w:bCs/>
                          <w:sz w:val="20"/>
                          <w:szCs w:val="20"/>
                          <w:lang w:val="en-US"/>
                        </w:rPr>
                        <w:t>C</w:t>
                      </w:r>
                    </w:p>
                  </w:txbxContent>
                </v:textbox>
              </v:shape>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61312" behindDoc="0" locked="0" layoutInCell="1" allowOverlap="1" wp14:anchorId="6D809F33" wp14:editId="7A6852E5">
                <wp:simplePos x="0" y="0"/>
                <wp:positionH relativeFrom="column">
                  <wp:posOffset>2818486</wp:posOffset>
                </wp:positionH>
                <wp:positionV relativeFrom="paragraph">
                  <wp:posOffset>-2208</wp:posOffset>
                </wp:positionV>
                <wp:extent cx="278130" cy="257775"/>
                <wp:effectExtent l="0" t="0" r="0" b="0"/>
                <wp:wrapNone/>
                <wp:docPr id="2" name="Text Box 2"/>
                <wp:cNvGraphicFramePr/>
                <a:graphic xmlns:a="http://schemas.openxmlformats.org/drawingml/2006/main">
                  <a:graphicData uri="http://schemas.microsoft.com/office/word/2010/wordprocessingShape">
                    <wps:wsp>
                      <wps:cNvSpPr txBox="1"/>
                      <wps:spPr>
                        <a:xfrm>
                          <a:off x="0" y="0"/>
                          <a:ext cx="278130" cy="257775"/>
                        </a:xfrm>
                        <a:prstGeom prst="rect">
                          <a:avLst/>
                        </a:prstGeom>
                        <a:noFill/>
                        <a:ln w="6350">
                          <a:noFill/>
                        </a:ln>
                      </wps:spPr>
                      <wps:txbx>
                        <w:txbxContent>
                          <w:p w:rsidR="00F452C7" w:rsidRPr="00F452C7" w:rsidRDefault="00F452C7" w:rsidP="00F452C7">
                            <w:pPr>
                              <w:rPr>
                                <w:rFonts w:ascii="Times New Roman" w:hAnsi="Times New Roman" w:cs="Times New Roman"/>
                                <w:b/>
                                <w:bCs/>
                                <w:sz w:val="20"/>
                                <w:szCs w:val="20"/>
                                <w:lang w:val="en-US"/>
                              </w:rPr>
                            </w:pPr>
                            <w:r>
                              <w:rPr>
                                <w:rFonts w:ascii="Times New Roman" w:hAnsi="Times New Roman" w:cs="Times New Roman"/>
                                <w:b/>
                                <w:bCs/>
                                <w:sz w:val="20"/>
                                <w:szCs w:val="20"/>
                                <w:lang w:val="en-U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809F33" id="Text Box 2" o:spid="_x0000_s1028" type="#_x0000_t202" style="position:absolute;left:0;text-align:left;margin-left:221.95pt;margin-top:-.15pt;width:21.9pt;height:20.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" filled="f" stroked="f" strokeweight=".5pt">
                <v:textbox>
                  <w:txbxContent>
                    <w:p w:rsidR="00F452C7" w:rsidRPr="00F452C7" w:rsidRDefault="00F452C7" w:rsidP="00F452C7">
                      <w:pPr>
                        <w:rPr>
                          <w:rFonts w:ascii="Times New Roman" w:hAnsi="Times New Roman" w:cs="Times New Roman"/>
                          <w:b/>
                          <w:bCs/>
                          <w:sz w:val="20"/>
                          <w:szCs w:val="20"/>
                          <w:lang w:val="en-US"/>
                        </w:rPr>
                      </w:pPr>
                      <w:r>
                        <w:rPr>
                          <w:rFonts w:ascii="Times New Roman" w:hAnsi="Times New Roman" w:cs="Times New Roman"/>
                          <w:b/>
                          <w:bCs/>
                          <w:sz w:val="20"/>
                          <w:szCs w:val="20"/>
                          <w:lang w:val="en-US"/>
                        </w:rPr>
                        <w:t>B</w:t>
                      </w:r>
                    </w:p>
                  </w:txbxContent>
                </v:textbox>
              </v:shape>
            </w:pict>
          </mc:Fallback>
        </mc:AlternateContent>
      </w:r>
      <w:r>
        <w:rPr>
          <w:rFonts w:ascii="Times New Roman" w:eastAsia="Times New Roman" w:hAnsi="Times New Roman" w:cs="Times New Roman"/>
          <w:b/>
          <w:i/>
          <w:noProof/>
          <w:sz w:val="24"/>
          <w:szCs w:val="24"/>
        </w:rPr>
        <mc:AlternateContent>
          <mc:Choice Requires="wps">
            <w:drawing>
              <wp:anchor distT="0" distB="0" distL="114300" distR="114300" simplePos="0" relativeHeight="251659264" behindDoc="0" locked="0" layoutInCell="1" allowOverlap="1">
                <wp:simplePos x="0" y="0"/>
                <wp:positionH relativeFrom="column">
                  <wp:posOffset>545605</wp:posOffset>
                </wp:positionH>
                <wp:positionV relativeFrom="paragraph">
                  <wp:posOffset>27503</wp:posOffset>
                </wp:positionV>
                <wp:extent cx="278607" cy="300038"/>
                <wp:effectExtent l="0" t="0" r="0" b="0"/>
                <wp:wrapNone/>
                <wp:docPr id="1" name="Text Box 1"/>
                <wp:cNvGraphicFramePr/>
                <a:graphic xmlns:a="http://schemas.openxmlformats.org/drawingml/2006/main">
                  <a:graphicData uri="http://schemas.microsoft.com/office/word/2010/wordprocessingShape">
                    <wps:wsp>
                      <wps:cNvSpPr txBox="1"/>
                      <wps:spPr>
                        <a:xfrm>
                          <a:off x="0" y="0"/>
                          <a:ext cx="278607" cy="300038"/>
                        </a:xfrm>
                        <a:prstGeom prst="rect">
                          <a:avLst/>
                        </a:prstGeom>
                        <a:noFill/>
                        <a:ln w="6350">
                          <a:noFill/>
                        </a:ln>
                      </wps:spPr>
                      <wps:txbx>
                        <w:txbxContent>
                          <w:p w:rsidR="00F452C7" w:rsidRPr="00F452C7" w:rsidRDefault="00F452C7">
                            <w:pPr>
                              <w:rPr>
                                <w:rFonts w:ascii="Times New Roman" w:hAnsi="Times New Roman" w:cs="Times New Roman"/>
                                <w:b/>
                                <w:bCs/>
                                <w:sz w:val="20"/>
                                <w:szCs w:val="20"/>
                                <w:lang w:val="en-US"/>
                              </w:rPr>
                            </w:pPr>
                            <w:r w:rsidRPr="00F452C7">
                              <w:rPr>
                                <w:rFonts w:ascii="Times New Roman" w:hAnsi="Times New Roman" w:cs="Times New Roman"/>
                                <w:b/>
                                <w:bCs/>
                                <w:sz w:val="20"/>
                                <w:szCs w:val="20"/>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9" type="#_x0000_t202" style="position:absolute;left:0;text-align:left;margin-left:42.95pt;margin-top:2.15pt;width:21.95pt;height:23.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" filled="f" stroked="f" strokeweight=".5pt">
                <v:textbox>
                  <w:txbxContent>
                    <w:p w:rsidR="00F452C7" w:rsidRPr="00F452C7" w:rsidRDefault="00F452C7">
                      <w:pPr>
                        <w:rPr>
                          <w:rFonts w:ascii="Times New Roman" w:hAnsi="Times New Roman" w:cs="Times New Roman"/>
                          <w:b/>
                          <w:bCs/>
                          <w:sz w:val="20"/>
                          <w:szCs w:val="20"/>
                          <w:lang w:val="en-US"/>
                        </w:rPr>
                      </w:pPr>
                      <w:r w:rsidRPr="00F452C7">
                        <w:rPr>
                          <w:rFonts w:ascii="Times New Roman" w:hAnsi="Times New Roman" w:cs="Times New Roman"/>
                          <w:b/>
                          <w:bCs/>
                          <w:sz w:val="20"/>
                          <w:szCs w:val="20"/>
                          <w:lang w:val="en-US"/>
                        </w:rPr>
                        <w:t>A</w:t>
                      </w:r>
                    </w:p>
                  </w:txbxContent>
                </v:textbox>
              </v:shape>
            </w:pict>
          </mc:Fallback>
        </mc:AlternateContent>
      </w:r>
      <w:r w:rsidR="001D1314">
        <w:rPr>
          <w:rFonts w:ascii="Times New Roman" w:eastAsia="Times New Roman" w:hAnsi="Times New Roman" w:cs="Times New Roman"/>
          <w:b/>
          <w:i/>
          <w:noProof/>
          <w:sz w:val="24"/>
          <w:szCs w:val="24"/>
        </w:rPr>
        <w:drawing>
          <wp:inline distT="114300" distB="114300" distL="114300" distR="114300">
            <wp:extent cx="2172748" cy="1652631"/>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190397" cy="1666055"/>
                    </a:xfrm>
                    <a:prstGeom prst="rect">
                      <a:avLst/>
                    </a:prstGeom>
                    <a:ln/>
                  </pic:spPr>
                </pic:pic>
              </a:graphicData>
            </a:graphic>
          </wp:inline>
        </w:drawing>
      </w:r>
      <w:r w:rsidR="001D1314">
        <w:rPr>
          <w:rFonts w:ascii="Times New Roman" w:eastAsia="Times New Roman" w:hAnsi="Times New Roman" w:cs="Times New Roman"/>
          <w:b/>
          <w:i/>
          <w:noProof/>
          <w:sz w:val="24"/>
          <w:szCs w:val="24"/>
        </w:rPr>
        <w:drawing>
          <wp:inline distT="114300" distB="114300" distL="114300" distR="114300">
            <wp:extent cx="2230657" cy="1627464"/>
            <wp:effectExtent l="0" t="0" r="508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230657" cy="1627464"/>
                    </a:xfrm>
                    <a:prstGeom prst="rect">
                      <a:avLst/>
                    </a:prstGeom>
                    <a:ln/>
                  </pic:spPr>
                </pic:pic>
              </a:graphicData>
            </a:graphic>
          </wp:inline>
        </w:drawing>
      </w:r>
      <w:r w:rsidR="001D1314">
        <w:rPr>
          <w:rFonts w:ascii="Times New Roman" w:eastAsia="Times New Roman" w:hAnsi="Times New Roman" w:cs="Times New Roman"/>
          <w:b/>
          <w:i/>
          <w:noProof/>
          <w:sz w:val="24"/>
          <w:szCs w:val="24"/>
        </w:rPr>
        <w:drawing>
          <wp:inline distT="114300" distB="114300" distL="114300" distR="114300">
            <wp:extent cx="2290194" cy="1711355"/>
            <wp:effectExtent l="0" t="0" r="0" b="3175"/>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310392" cy="1726448"/>
                    </a:xfrm>
                    <a:prstGeom prst="rect">
                      <a:avLst/>
                    </a:prstGeom>
                    <a:ln/>
                  </pic:spPr>
                </pic:pic>
              </a:graphicData>
            </a:graphic>
          </wp:inline>
        </w:drawing>
      </w:r>
      <w:r w:rsidR="001D1314">
        <w:rPr>
          <w:rFonts w:ascii="Times New Roman" w:eastAsia="Times New Roman" w:hAnsi="Times New Roman" w:cs="Times New Roman"/>
          <w:b/>
          <w:i/>
          <w:noProof/>
          <w:sz w:val="24"/>
          <w:szCs w:val="24"/>
        </w:rPr>
        <w:drawing>
          <wp:inline distT="114300" distB="114300" distL="114300" distR="114300">
            <wp:extent cx="2206304" cy="1676832"/>
            <wp:effectExtent l="0" t="0" r="381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2250525" cy="1710441"/>
                    </a:xfrm>
                    <a:prstGeom prst="rect">
                      <a:avLst/>
                    </a:prstGeom>
                    <a:ln/>
                  </pic:spPr>
                </pic:pic>
              </a:graphicData>
            </a:graphic>
          </wp:inline>
        </w:drawing>
      </w:r>
    </w:p>
    <w:p w:rsidR="00F452C7" w:rsidRDefault="001D1314" w:rsidP="00F452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1. </w:t>
      </w:r>
      <w:r>
        <w:rPr>
          <w:rFonts w:ascii="Times New Roman" w:eastAsia="Times New Roman" w:hAnsi="Times New Roman" w:cs="Times New Roman"/>
          <w:sz w:val="20"/>
          <w:szCs w:val="20"/>
        </w:rPr>
        <w:t>(A-D) Per sequence quality scores of reads from Read 1 (A and C) and Read 2 (B and</w:t>
      </w:r>
      <w:r w:rsidR="00F452C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D) obtained via </w:t>
      </w:r>
      <w:proofErr w:type="spellStart"/>
      <w:r>
        <w:rPr>
          <w:rFonts w:ascii="Times New Roman" w:eastAsia="Times New Roman" w:hAnsi="Times New Roman" w:cs="Times New Roman"/>
          <w:sz w:val="20"/>
          <w:szCs w:val="20"/>
        </w:rPr>
        <w:t>fastqc</w:t>
      </w:r>
      <w:proofErr w:type="spellEnd"/>
      <w:r>
        <w:rPr>
          <w:rFonts w:ascii="Times New Roman" w:eastAsia="Times New Roman" w:hAnsi="Times New Roman" w:cs="Times New Roman"/>
          <w:sz w:val="20"/>
          <w:szCs w:val="20"/>
        </w:rPr>
        <w:t>. The raw (untrimmed</w:t>
      </w:r>
      <w:r w:rsidR="00F452C7">
        <w:rPr>
          <w:rFonts w:ascii="Times New Roman" w:eastAsia="Times New Roman" w:hAnsi="Times New Roman" w:cs="Times New Roman"/>
          <w:sz w:val="20"/>
          <w:szCs w:val="20"/>
        </w:rPr>
        <w:t>; A and B</w:t>
      </w:r>
      <w:r>
        <w:rPr>
          <w:rFonts w:ascii="Times New Roman" w:eastAsia="Times New Roman" w:hAnsi="Times New Roman" w:cs="Times New Roman"/>
          <w:sz w:val="20"/>
          <w:szCs w:val="20"/>
        </w:rPr>
        <w:t>) sequences contained reads with low Q scores (Q &lt; 20) towards the 3’ end, there</w:t>
      </w:r>
      <w:r>
        <w:rPr>
          <w:rFonts w:ascii="Times New Roman" w:eastAsia="Times New Roman" w:hAnsi="Times New Roman" w:cs="Times New Roman"/>
          <w:sz w:val="20"/>
          <w:szCs w:val="20"/>
        </w:rPr>
        <w:t xml:space="preserve">fore, </w:t>
      </w:r>
      <w:proofErr w:type="spellStart"/>
      <w:r>
        <w:rPr>
          <w:rFonts w:ascii="Times New Roman" w:eastAsia="Times New Roman" w:hAnsi="Times New Roman" w:cs="Times New Roman"/>
          <w:sz w:val="20"/>
          <w:szCs w:val="20"/>
        </w:rPr>
        <w:t>trimmomatic</w:t>
      </w:r>
      <w:proofErr w:type="spellEnd"/>
      <w:r>
        <w:rPr>
          <w:rFonts w:ascii="Times New Roman" w:eastAsia="Times New Roman" w:hAnsi="Times New Roman" w:cs="Times New Roman"/>
          <w:sz w:val="20"/>
          <w:szCs w:val="20"/>
        </w:rPr>
        <w:t xml:space="preserve"> was utilized to trim reads to 100 bp and remove reads shorter than 100 bp from the data set. This resulted in a data set with Q scores greater than 30 for both reads</w:t>
      </w:r>
      <w:r w:rsidR="00F452C7">
        <w:rPr>
          <w:rFonts w:ascii="Times New Roman" w:eastAsia="Times New Roman" w:hAnsi="Times New Roman" w:cs="Times New Roman"/>
          <w:sz w:val="20"/>
          <w:szCs w:val="20"/>
        </w:rPr>
        <w:t xml:space="preserve"> (C and D)</w:t>
      </w:r>
      <w:r>
        <w:rPr>
          <w:rFonts w:ascii="Times New Roman" w:eastAsia="Times New Roman" w:hAnsi="Times New Roman" w:cs="Times New Roman"/>
          <w:sz w:val="20"/>
          <w:szCs w:val="20"/>
        </w:rPr>
        <w:t xml:space="preserve">. </w:t>
      </w:r>
    </w:p>
    <w:p w:rsidR="007825A7" w:rsidRPr="00F452C7" w:rsidRDefault="001D1314" w:rsidP="00F452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i/>
          <w:sz w:val="24"/>
          <w:szCs w:val="24"/>
        </w:rPr>
        <w:lastRenderedPageBreak/>
        <w:t>BWA (v0.7.17),</w:t>
      </w:r>
      <w:r>
        <w:rPr>
          <w:rFonts w:ascii="Times New Roman" w:eastAsia="Times New Roman" w:hAnsi="Times New Roman" w:cs="Times New Roman"/>
          <w:b/>
          <w:i/>
          <w:sz w:val="24"/>
          <w:szCs w:val="24"/>
        </w:rPr>
        <w:t xml:space="preserve"> SAMtools (v0.1.19), &amp; </w:t>
      </w:r>
      <w:proofErr w:type="spellStart"/>
      <w:r>
        <w:rPr>
          <w:rFonts w:ascii="Times New Roman" w:eastAsia="Times New Roman" w:hAnsi="Times New Roman" w:cs="Times New Roman"/>
          <w:b/>
          <w:i/>
          <w:sz w:val="24"/>
          <w:szCs w:val="24"/>
        </w:rPr>
        <w:t>bcftools</w:t>
      </w:r>
      <w:proofErr w:type="spellEnd"/>
      <w:r>
        <w:rPr>
          <w:rFonts w:ascii="Times New Roman" w:eastAsia="Times New Roman" w:hAnsi="Times New Roman" w:cs="Times New Roman"/>
          <w:b/>
          <w:i/>
          <w:sz w:val="24"/>
          <w:szCs w:val="24"/>
        </w:rPr>
        <w:t xml:space="preserve"> (v0.9)</w:t>
      </w:r>
    </w:p>
    <w:p w:rsidR="00F452C7" w:rsidRDefault="001D1314" w:rsidP="00F452C7">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Burrows-Wheeler </w:t>
      </w:r>
      <w:r>
        <w:rPr>
          <w:rFonts w:ascii="Times New Roman" w:eastAsia="Times New Roman" w:hAnsi="Times New Roman" w:cs="Times New Roman"/>
          <w:sz w:val="24"/>
          <w:szCs w:val="24"/>
        </w:rPr>
        <w:t xml:space="preserve">Aligner (BWA) was used to align the WGS reads of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(LMNC088) lineage II strain to the </w:t>
      </w:r>
      <w:r>
        <w:rPr>
          <w:rFonts w:ascii="Times New Roman" w:eastAsia="Times New Roman" w:hAnsi="Times New Roman" w:cs="Times New Roman"/>
          <w:i/>
          <w:sz w:val="24"/>
          <w:szCs w:val="24"/>
        </w:rPr>
        <w:t>L. monocytogenes</w:t>
      </w:r>
      <w:r>
        <w:rPr>
          <w:rFonts w:ascii="Times New Roman" w:eastAsia="Times New Roman" w:hAnsi="Times New Roman" w:cs="Times New Roman"/>
          <w:sz w:val="24"/>
          <w:szCs w:val="24"/>
        </w:rPr>
        <w:t xml:space="preserve"> (JF5861) lineage I reference strain. The untrimmed data set was investigated to determine the number of variants in comparison to the trim</w:t>
      </w:r>
      <w:r>
        <w:rPr>
          <w:rFonts w:ascii="Times New Roman" w:eastAsia="Times New Roman" w:hAnsi="Times New Roman" w:cs="Times New Roman"/>
          <w:sz w:val="24"/>
          <w:szCs w:val="24"/>
        </w:rPr>
        <w:t>med dataset with a max depth of 250. When comparing variant calls between trimmed and untrimmed datasets, indels were the only variants reported while the untrimmed data generated 470 variants and the data trimmed to 100 bp resulted in 492 variants, as sho</w:t>
      </w:r>
      <w:r>
        <w:rPr>
          <w:rFonts w:ascii="Times New Roman" w:eastAsia="Times New Roman" w:hAnsi="Times New Roman" w:cs="Times New Roman"/>
          <w:sz w:val="24"/>
          <w:szCs w:val="24"/>
        </w:rPr>
        <w:t xml:space="preserve">wn in Table 1. Further the Q score (QS) for both data sets ranged from 5-228 with a median QS of 107.5 and 106 for the untrimmed and trimmed to 100 data sets, respectively. The per base depth of the untrimmed and trimmed to 100 data sets ranged from 1-249 </w:t>
      </w:r>
      <w:r>
        <w:rPr>
          <w:rFonts w:ascii="Times New Roman" w:eastAsia="Times New Roman" w:hAnsi="Times New Roman" w:cs="Times New Roman"/>
          <w:sz w:val="24"/>
          <w:szCs w:val="24"/>
        </w:rPr>
        <w:t xml:space="preserve">and 1-259, respectively. In addition, to investigate the impact of increasing the maximum depth (-d) for the </w:t>
      </w:r>
      <w:proofErr w:type="spellStart"/>
      <w:r>
        <w:rPr>
          <w:rFonts w:ascii="Times New Roman" w:eastAsia="Times New Roman" w:hAnsi="Times New Roman" w:cs="Times New Roman"/>
          <w:sz w:val="24"/>
          <w:szCs w:val="24"/>
        </w:rPr>
        <w:t>bcftools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mpileup</w:t>
      </w:r>
      <w:proofErr w:type="spellEnd"/>
      <w:r>
        <w:rPr>
          <w:rFonts w:ascii="Times New Roman" w:eastAsia="Times New Roman" w:hAnsi="Times New Roman" w:cs="Times New Roman"/>
          <w:sz w:val="24"/>
          <w:szCs w:val="24"/>
        </w:rPr>
        <w:t xml:space="preserve"> command, the -d value was changed from 250 to 10,000. This resulted in the identification of 488 indels with a </w:t>
      </w:r>
      <w:proofErr w:type="gramStart"/>
      <w:r>
        <w:rPr>
          <w:rFonts w:ascii="Times New Roman" w:eastAsia="Times New Roman" w:hAnsi="Times New Roman" w:cs="Times New Roman"/>
          <w:sz w:val="24"/>
          <w:szCs w:val="24"/>
        </w:rPr>
        <w:t>median QS</w:t>
      </w:r>
      <w:proofErr w:type="gramEnd"/>
      <w:r>
        <w:rPr>
          <w:rFonts w:ascii="Times New Roman" w:eastAsia="Times New Roman" w:hAnsi="Times New Roman" w:cs="Times New Roman"/>
          <w:sz w:val="24"/>
          <w:szCs w:val="24"/>
        </w:rPr>
        <w:t xml:space="preserve"> of 106. C</w:t>
      </w:r>
      <w:r>
        <w:rPr>
          <w:rFonts w:ascii="Times New Roman" w:eastAsia="Times New Roman" w:hAnsi="Times New Roman" w:cs="Times New Roman"/>
          <w:sz w:val="24"/>
          <w:szCs w:val="24"/>
        </w:rPr>
        <w:t xml:space="preserve">ollectively, the maximum depth of 250 was used to move forward in the project as this is the default setting in </w:t>
      </w:r>
      <w:proofErr w:type="spellStart"/>
      <w:r>
        <w:rPr>
          <w:rFonts w:ascii="Times New Roman" w:eastAsia="Times New Roman" w:hAnsi="Times New Roman" w:cs="Times New Roman"/>
          <w:sz w:val="24"/>
          <w:szCs w:val="24"/>
        </w:rPr>
        <w:t>bcftools</w:t>
      </w:r>
      <w:proofErr w:type="spellEnd"/>
      <w:r>
        <w:rPr>
          <w:rFonts w:ascii="Times New Roman" w:eastAsia="Times New Roman" w:hAnsi="Times New Roman" w:cs="Times New Roman"/>
          <w:sz w:val="24"/>
          <w:szCs w:val="24"/>
        </w:rPr>
        <w:t xml:space="preserve"> and increasing the maximum depth to 10,000 did not have a notable effect on the number of variants called variant type, % CDS variants,</w:t>
      </w:r>
      <w:r>
        <w:rPr>
          <w:rFonts w:ascii="Times New Roman" w:eastAsia="Times New Roman" w:hAnsi="Times New Roman" w:cs="Times New Roman"/>
          <w:sz w:val="24"/>
          <w:szCs w:val="24"/>
        </w:rPr>
        <w:t xml:space="preserve"> QS range, median QS, nor the per base depth range (</w:t>
      </w:r>
      <w:r>
        <w:rPr>
          <w:rFonts w:ascii="Times New Roman" w:eastAsia="Times New Roman" w:hAnsi="Times New Roman" w:cs="Times New Roman"/>
          <w:b/>
          <w:sz w:val="24"/>
          <w:szCs w:val="24"/>
        </w:rPr>
        <w:t>Table 1</w:t>
      </w:r>
      <w:r>
        <w:rPr>
          <w:rFonts w:ascii="Times New Roman" w:eastAsia="Times New Roman" w:hAnsi="Times New Roman" w:cs="Times New Roman"/>
          <w:sz w:val="24"/>
          <w:szCs w:val="24"/>
        </w:rPr>
        <w:t xml:space="preserve">). </w:t>
      </w:r>
    </w:p>
    <w:p w:rsidR="00F452C7" w:rsidRPr="00F452C7" w:rsidRDefault="00F452C7" w:rsidP="00F452C7">
      <w:pPr>
        <w:spacing w:line="240" w:lineRule="auto"/>
        <w:ind w:firstLine="720"/>
        <w:jc w:val="both"/>
        <w:rPr>
          <w:rFonts w:ascii="Times New Roman" w:eastAsia="Times New Roman" w:hAnsi="Times New Roman" w:cs="Times New Roman"/>
          <w:sz w:val="24"/>
          <w:szCs w:val="24"/>
        </w:rPr>
      </w:pPr>
    </w:p>
    <w:tbl>
      <w:tblPr>
        <w:tblStyle w:val="a1"/>
        <w:tblpPr w:leftFromText="187" w:rightFromText="187" w:vertAnchor="text" w:tblpXSpec="right" w:tblpY="1"/>
        <w:tblOverlap w:val="never"/>
        <w:tblW w:w="5184"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
        <w:gridCol w:w="1296"/>
        <w:gridCol w:w="1296"/>
        <w:gridCol w:w="1296"/>
      </w:tblGrid>
      <w:tr w:rsidR="00F452C7" w:rsidTr="00F452C7">
        <w:trPr>
          <w:trHeight w:val="20"/>
          <w:jc w:val="right"/>
        </w:trPr>
        <w:tc>
          <w:tcPr>
            <w:tcW w:w="1296" w:type="dxa"/>
            <w:tcBorders>
              <w:top w:val="single" w:sz="4" w:space="0" w:color="auto"/>
              <w:left w:val="single" w:sz="4" w:space="0" w:color="auto"/>
              <w:bottom w:val="single" w:sz="4" w:space="0" w:color="auto"/>
              <w:right w:val="nil"/>
            </w:tcBorders>
            <w:shd w:val="clear" w:color="auto" w:fill="D9D9D9" w:themeFill="background1" w:themeFillShade="D9"/>
            <w:tcMar>
              <w:top w:w="0" w:type="dxa"/>
              <w:left w:w="0" w:type="dxa"/>
              <w:bottom w:w="0" w:type="dxa"/>
              <w:right w:w="0" w:type="dxa"/>
            </w:tcMar>
            <w:vAlign w:val="center"/>
          </w:tcPr>
          <w:p w:rsidR="007825A7" w:rsidRDefault="007825A7"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tc>
        <w:tc>
          <w:tcPr>
            <w:tcW w:w="1296" w:type="dxa"/>
            <w:tcBorders>
              <w:top w:val="single" w:sz="4" w:space="0" w:color="auto"/>
              <w:left w:val="nil"/>
              <w:bottom w:val="single" w:sz="4" w:space="0" w:color="auto"/>
              <w:right w:val="nil"/>
            </w:tcBorders>
            <w:shd w:val="clear" w:color="auto" w:fill="D9D9D9" w:themeFill="background1" w:themeFillShade="D9"/>
            <w:tcMar>
              <w:top w:w="0" w:type="dxa"/>
              <w:left w:w="0" w:type="dxa"/>
              <w:bottom w:w="0" w:type="dxa"/>
              <w:right w:w="0" w:type="dxa"/>
            </w:tcMar>
            <w:vAlign w:val="center"/>
          </w:tcPr>
          <w:p w:rsidR="007825A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Untrimmed</w:t>
            </w:r>
          </w:p>
        </w:tc>
        <w:tc>
          <w:tcPr>
            <w:tcW w:w="1296" w:type="dxa"/>
            <w:tcBorders>
              <w:top w:val="single" w:sz="4" w:space="0" w:color="auto"/>
              <w:left w:val="nil"/>
              <w:bottom w:val="single" w:sz="4" w:space="0" w:color="auto"/>
              <w:right w:val="nil"/>
            </w:tcBorders>
            <w:shd w:val="clear" w:color="auto" w:fill="D9D9D9" w:themeFill="background1" w:themeFillShade="D9"/>
            <w:tcMar>
              <w:top w:w="0" w:type="dxa"/>
              <w:left w:w="0" w:type="dxa"/>
              <w:bottom w:w="0" w:type="dxa"/>
              <w:right w:w="0" w:type="dxa"/>
            </w:tcMar>
            <w:vAlign w:val="center"/>
          </w:tcPr>
          <w:p w:rsidR="007825A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Trimmed 100, d250</w:t>
            </w:r>
          </w:p>
        </w:tc>
        <w:tc>
          <w:tcPr>
            <w:tcW w:w="1296" w:type="dxa"/>
            <w:tcBorders>
              <w:top w:val="single" w:sz="4" w:space="0" w:color="auto"/>
              <w:left w:val="nil"/>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tcPr>
          <w:p w:rsidR="007825A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Trimmed 100, d10,000</w:t>
            </w:r>
          </w:p>
        </w:tc>
      </w:tr>
      <w:tr w:rsidR="007825A7" w:rsidTr="00F452C7">
        <w:trPr>
          <w:trHeight w:val="288"/>
          <w:jc w:val="right"/>
        </w:trPr>
        <w:tc>
          <w:tcPr>
            <w:tcW w:w="1296" w:type="dxa"/>
            <w:tcBorders>
              <w:top w:val="single" w:sz="4" w:space="0" w:color="auto"/>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bCs/>
                <w:sz w:val="18"/>
                <w:szCs w:val="18"/>
              </w:rPr>
            </w:pPr>
            <w:proofErr w:type="spellStart"/>
            <w:proofErr w:type="gramStart"/>
            <w:r w:rsidRPr="00F452C7">
              <w:rPr>
                <w:rFonts w:ascii="Times New Roman" w:eastAsia="Times New Roman" w:hAnsi="Times New Roman" w:cs="Times New Roman"/>
                <w:bCs/>
                <w:sz w:val="18"/>
                <w:szCs w:val="18"/>
              </w:rPr>
              <w:t>No.Variants</w:t>
            </w:r>
            <w:proofErr w:type="spellEnd"/>
            <w:proofErr w:type="gramEnd"/>
          </w:p>
        </w:tc>
        <w:tc>
          <w:tcPr>
            <w:tcW w:w="1296" w:type="dxa"/>
            <w:tcBorders>
              <w:top w:val="single" w:sz="4" w:space="0" w:color="auto"/>
              <w:left w:val="single" w:sz="4" w:space="0" w:color="auto"/>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470</w:t>
            </w:r>
          </w:p>
        </w:tc>
        <w:tc>
          <w:tcPr>
            <w:tcW w:w="1296" w:type="dxa"/>
            <w:tcBorders>
              <w:top w:val="single" w:sz="4" w:space="0" w:color="auto"/>
              <w:left w:val="nil"/>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492</w:t>
            </w:r>
          </w:p>
        </w:tc>
        <w:tc>
          <w:tcPr>
            <w:tcW w:w="1296" w:type="dxa"/>
            <w:tcBorders>
              <w:top w:val="single" w:sz="4" w:space="0" w:color="auto"/>
              <w:left w:val="nil"/>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488</w:t>
            </w:r>
          </w:p>
        </w:tc>
      </w:tr>
      <w:tr w:rsidR="007825A7" w:rsidTr="00F452C7">
        <w:trPr>
          <w:trHeight w:val="288"/>
          <w:jc w:val="right"/>
        </w:trPr>
        <w:tc>
          <w:tcPr>
            <w:tcW w:w="1296"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Variant Type</w:t>
            </w:r>
          </w:p>
        </w:tc>
        <w:tc>
          <w:tcPr>
            <w:tcW w:w="1296" w:type="dxa"/>
            <w:tcBorders>
              <w:top w:val="nil"/>
              <w:left w:val="single" w:sz="4" w:space="0" w:color="auto"/>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indels</w:t>
            </w:r>
          </w:p>
        </w:tc>
        <w:tc>
          <w:tcPr>
            <w:tcW w:w="1296" w:type="dxa"/>
            <w:tcBorders>
              <w:top w:val="nil"/>
              <w:left w:val="nil"/>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indels</w:t>
            </w:r>
          </w:p>
        </w:tc>
        <w:tc>
          <w:tcPr>
            <w:tcW w:w="1296" w:type="dxa"/>
            <w:tcBorders>
              <w:top w:val="nil"/>
              <w:left w:val="nil"/>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indels</w:t>
            </w:r>
          </w:p>
        </w:tc>
      </w:tr>
      <w:tr w:rsidR="007825A7" w:rsidTr="00F452C7">
        <w:trPr>
          <w:trHeight w:val="288"/>
          <w:jc w:val="right"/>
        </w:trPr>
        <w:tc>
          <w:tcPr>
            <w:tcW w:w="1296"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 CDS Variants</w:t>
            </w:r>
          </w:p>
        </w:tc>
        <w:tc>
          <w:tcPr>
            <w:tcW w:w="1296" w:type="dxa"/>
            <w:tcBorders>
              <w:top w:val="nil"/>
              <w:left w:val="single" w:sz="4" w:space="0" w:color="auto"/>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24</w:t>
            </w:r>
          </w:p>
        </w:tc>
        <w:tc>
          <w:tcPr>
            <w:tcW w:w="1296" w:type="dxa"/>
            <w:tcBorders>
              <w:top w:val="nil"/>
              <w:left w:val="nil"/>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22</w:t>
            </w:r>
          </w:p>
        </w:tc>
        <w:tc>
          <w:tcPr>
            <w:tcW w:w="1296" w:type="dxa"/>
            <w:tcBorders>
              <w:top w:val="nil"/>
              <w:left w:val="nil"/>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22</w:t>
            </w:r>
          </w:p>
        </w:tc>
      </w:tr>
      <w:tr w:rsidR="007825A7" w:rsidTr="00F452C7">
        <w:trPr>
          <w:trHeight w:val="288"/>
          <w:jc w:val="right"/>
        </w:trPr>
        <w:tc>
          <w:tcPr>
            <w:tcW w:w="1296"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QS Range</w:t>
            </w:r>
          </w:p>
        </w:tc>
        <w:tc>
          <w:tcPr>
            <w:tcW w:w="1296" w:type="dxa"/>
            <w:tcBorders>
              <w:top w:val="nil"/>
              <w:left w:val="single" w:sz="4" w:space="0" w:color="auto"/>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5-228</w:t>
            </w:r>
          </w:p>
        </w:tc>
        <w:tc>
          <w:tcPr>
            <w:tcW w:w="1296" w:type="dxa"/>
            <w:tcBorders>
              <w:top w:val="nil"/>
              <w:left w:val="nil"/>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5-228</w:t>
            </w:r>
          </w:p>
        </w:tc>
        <w:tc>
          <w:tcPr>
            <w:tcW w:w="1296" w:type="dxa"/>
            <w:tcBorders>
              <w:top w:val="nil"/>
              <w:left w:val="nil"/>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3.7-228</w:t>
            </w:r>
          </w:p>
        </w:tc>
      </w:tr>
      <w:tr w:rsidR="007825A7" w:rsidTr="00F452C7">
        <w:trPr>
          <w:trHeight w:val="288"/>
          <w:jc w:val="right"/>
        </w:trPr>
        <w:tc>
          <w:tcPr>
            <w:tcW w:w="1296"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Median QS</w:t>
            </w:r>
          </w:p>
        </w:tc>
        <w:tc>
          <w:tcPr>
            <w:tcW w:w="1296" w:type="dxa"/>
            <w:tcBorders>
              <w:top w:val="nil"/>
              <w:left w:val="single" w:sz="4" w:space="0" w:color="auto"/>
              <w:bottom w:val="nil"/>
              <w:right w:val="nil"/>
            </w:tcBorders>
            <w:tcMar>
              <w:top w:w="20" w:type="dxa"/>
              <w:left w:w="20" w:type="dxa"/>
              <w:bottom w:w="100" w:type="dxa"/>
              <w:right w:w="2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107.5</w:t>
            </w:r>
          </w:p>
        </w:tc>
        <w:tc>
          <w:tcPr>
            <w:tcW w:w="1296" w:type="dxa"/>
            <w:tcBorders>
              <w:top w:val="nil"/>
              <w:left w:val="nil"/>
              <w:bottom w:val="nil"/>
              <w:right w:val="nil"/>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106</w:t>
            </w:r>
          </w:p>
        </w:tc>
        <w:tc>
          <w:tcPr>
            <w:tcW w:w="1296" w:type="dxa"/>
            <w:tcBorders>
              <w:top w:val="nil"/>
              <w:left w:val="nil"/>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106</w:t>
            </w:r>
          </w:p>
        </w:tc>
      </w:tr>
      <w:tr w:rsidR="007825A7" w:rsidTr="00F452C7">
        <w:trPr>
          <w:trHeight w:val="288"/>
          <w:jc w:val="right"/>
        </w:trPr>
        <w:tc>
          <w:tcPr>
            <w:tcW w:w="1296" w:type="dxa"/>
            <w:tcBorders>
              <w:top w:val="nil"/>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Per Base Depth (range)</w:t>
            </w:r>
          </w:p>
        </w:tc>
        <w:tc>
          <w:tcPr>
            <w:tcW w:w="1296" w:type="dxa"/>
            <w:tcBorders>
              <w:top w:val="nil"/>
              <w:left w:val="single" w:sz="4" w:space="0" w:color="auto"/>
              <w:bottom w:val="single" w:sz="4" w:space="0" w:color="auto"/>
              <w:right w:val="nil"/>
            </w:tcBorders>
            <w:tcMar>
              <w:top w:w="20" w:type="dxa"/>
              <w:left w:w="20" w:type="dxa"/>
              <w:bottom w:w="100" w:type="dxa"/>
              <w:right w:w="2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1-249</w:t>
            </w:r>
          </w:p>
        </w:tc>
        <w:tc>
          <w:tcPr>
            <w:tcW w:w="1296" w:type="dxa"/>
            <w:tcBorders>
              <w:top w:val="nil"/>
              <w:left w:val="nil"/>
              <w:bottom w:val="single" w:sz="4" w:space="0" w:color="auto"/>
              <w:right w:val="nil"/>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1-247</w:t>
            </w:r>
          </w:p>
        </w:tc>
        <w:tc>
          <w:tcPr>
            <w:tcW w:w="1296" w:type="dxa"/>
            <w:tcBorders>
              <w:top w:val="nil"/>
              <w:left w:val="nil"/>
              <w:bottom w:val="single" w:sz="4" w:space="0" w:color="auto"/>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1-222</w:t>
            </w:r>
          </w:p>
        </w:tc>
      </w:tr>
    </w:tbl>
    <w:p w:rsidR="007825A7" w:rsidRDefault="001D1314" w:rsidP="00F452C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1. </w:t>
      </w:r>
      <w:r>
        <w:rPr>
          <w:rFonts w:ascii="Times New Roman" w:eastAsia="Times New Roman" w:hAnsi="Times New Roman" w:cs="Times New Roman"/>
          <w:sz w:val="20"/>
          <w:szCs w:val="20"/>
        </w:rPr>
        <w:t xml:space="preserve">The results generated from mapping </w:t>
      </w:r>
      <w:r>
        <w:rPr>
          <w:rFonts w:ascii="Times New Roman" w:eastAsia="Times New Roman" w:hAnsi="Times New Roman" w:cs="Times New Roman"/>
          <w:i/>
          <w:sz w:val="20"/>
          <w:szCs w:val="20"/>
        </w:rPr>
        <w:t xml:space="preserve">LM </w:t>
      </w:r>
      <w:r>
        <w:rPr>
          <w:rFonts w:ascii="Times New Roman" w:eastAsia="Times New Roman" w:hAnsi="Times New Roman" w:cs="Times New Roman"/>
          <w:sz w:val="20"/>
          <w:szCs w:val="20"/>
        </w:rPr>
        <w:t xml:space="preserve">(LMNC088; lineage II) to the </w:t>
      </w:r>
      <w:r>
        <w:rPr>
          <w:rFonts w:ascii="Times New Roman" w:eastAsia="Times New Roman" w:hAnsi="Times New Roman" w:cs="Times New Roman"/>
          <w:i/>
          <w:sz w:val="20"/>
          <w:szCs w:val="20"/>
        </w:rPr>
        <w:t xml:space="preserve">LM </w:t>
      </w:r>
      <w:r>
        <w:rPr>
          <w:rFonts w:ascii="Times New Roman" w:eastAsia="Times New Roman" w:hAnsi="Times New Roman" w:cs="Times New Roman"/>
          <w:sz w:val="20"/>
          <w:szCs w:val="20"/>
        </w:rPr>
        <w:t>reference genome (F5861; lineage I) prior to sorting the variants statistically. The trimmed reads, reads trimmed to 100 excluding reads shorter than 100 bp with the maximum depth set at 250, and</w:t>
      </w:r>
      <w:r w:rsidR="00F452C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reads trimmed to 100 excluding reads shorter than 100 bp wi</w:t>
      </w:r>
      <w:r>
        <w:rPr>
          <w:rFonts w:ascii="Times New Roman" w:eastAsia="Times New Roman" w:hAnsi="Times New Roman" w:cs="Times New Roman"/>
          <w:sz w:val="20"/>
          <w:szCs w:val="20"/>
        </w:rPr>
        <w:t xml:space="preserve">th the maximum depth set at 10,000 resulted in the identification of exclusively indels. Increasing the maximum depth (-d) did not have an effect on increasing the number of variants identified, nor the QS of the variants. </w:t>
      </w:r>
    </w:p>
    <w:p w:rsidR="007825A7" w:rsidRDefault="007825A7" w:rsidP="00F452C7">
      <w:pPr>
        <w:spacing w:line="240" w:lineRule="auto"/>
        <w:rPr>
          <w:rFonts w:ascii="Times New Roman" w:eastAsia="Times New Roman" w:hAnsi="Times New Roman" w:cs="Times New Roman"/>
          <w:sz w:val="20"/>
          <w:szCs w:val="20"/>
        </w:rPr>
      </w:pPr>
    </w:p>
    <w:p w:rsidR="007825A7" w:rsidRDefault="001D13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 Processing</w:t>
      </w:r>
    </w:p>
    <w:p w:rsidR="007825A7" w:rsidRDefault="001D13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492 </w:t>
      </w:r>
      <w:r>
        <w:rPr>
          <w:rFonts w:ascii="Times New Roman" w:eastAsia="Times New Roman" w:hAnsi="Times New Roman" w:cs="Times New Roman"/>
          <w:sz w:val="24"/>
          <w:szCs w:val="24"/>
        </w:rPr>
        <w:t xml:space="preserve">variants listed in our initial output. Examination of the </w:t>
      </w:r>
      <w:r w:rsidR="00F452C7">
        <w:rPr>
          <w:rFonts w:ascii="Times New Roman" w:eastAsia="Times New Roman" w:hAnsi="Times New Roman" w:cs="Times New Roman"/>
          <w:sz w:val="24"/>
          <w:szCs w:val="24"/>
        </w:rPr>
        <w:t>variant’s</w:t>
      </w:r>
      <w:r>
        <w:rPr>
          <w:rFonts w:ascii="Times New Roman" w:eastAsia="Times New Roman" w:hAnsi="Times New Roman" w:cs="Times New Roman"/>
          <w:sz w:val="24"/>
          <w:szCs w:val="24"/>
        </w:rPr>
        <w:t xml:space="preserve"> types revealed that all of the 492 were indels. The QS for all 492 found indels varies from 5 to 228 (mean 115.3, SD 68.25). The QS was calculated as -10*log(prob(call)), where prob(call) i</w:t>
      </w:r>
      <w:r>
        <w:rPr>
          <w:rFonts w:ascii="Times New Roman" w:eastAsia="Times New Roman" w:hAnsi="Times New Roman" w:cs="Times New Roman"/>
          <w:sz w:val="24"/>
          <w:szCs w:val="24"/>
        </w:rPr>
        <w:t>s the probability that the variant call is incorrect. The corresponding p-values for all the quality scores &lt; 20 are greater than 0.01 with max p-value found of 0.31 corresponding to the lowest quality score 5. However, the remaining variants with relative</w:t>
      </w:r>
      <w:r>
        <w:rPr>
          <w:rFonts w:ascii="Times New Roman" w:eastAsia="Times New Roman" w:hAnsi="Times New Roman" w:cs="Times New Roman"/>
          <w:sz w:val="24"/>
          <w:szCs w:val="24"/>
        </w:rPr>
        <w:t xml:space="preserve">ly high p-value and </w:t>
      </w:r>
      <w:r w:rsidR="00F452C7">
        <w:rPr>
          <w:rFonts w:ascii="Times New Roman" w:eastAsia="Times New Roman" w:hAnsi="Times New Roman" w:cs="Times New Roman"/>
          <w:sz w:val="24"/>
          <w:szCs w:val="24"/>
        </w:rPr>
        <w:t>low-quality</w:t>
      </w:r>
      <w:r>
        <w:rPr>
          <w:rFonts w:ascii="Times New Roman" w:eastAsia="Times New Roman" w:hAnsi="Times New Roman" w:cs="Times New Roman"/>
          <w:sz w:val="24"/>
          <w:szCs w:val="24"/>
        </w:rPr>
        <w:t xml:space="preserve"> score (&lt;20) had variant depth above 100 (n=31). This first post processing step filtered </w:t>
      </w:r>
      <w:r w:rsidR="00F452C7">
        <w:rPr>
          <w:rFonts w:ascii="Times New Roman" w:eastAsia="Times New Roman" w:hAnsi="Times New Roman" w:cs="Times New Roman"/>
          <w:sz w:val="24"/>
          <w:szCs w:val="24"/>
        </w:rPr>
        <w:t>out unacceptable</w:t>
      </w:r>
      <w:r>
        <w:rPr>
          <w:rFonts w:ascii="Times New Roman" w:eastAsia="Times New Roman" w:hAnsi="Times New Roman" w:cs="Times New Roman"/>
          <w:sz w:val="24"/>
          <w:szCs w:val="24"/>
        </w:rPr>
        <w:t xml:space="preserve"> quality scores, leaving 460 variants with QS&gt;20 (p&lt;0.01). Variant depth (per base) of all 492 indels varied from 1 to</w:t>
      </w:r>
      <w:r>
        <w:rPr>
          <w:rFonts w:ascii="Times New Roman" w:eastAsia="Times New Roman" w:hAnsi="Times New Roman" w:cs="Times New Roman"/>
          <w:sz w:val="24"/>
          <w:szCs w:val="24"/>
        </w:rPr>
        <w:t xml:space="preserve"> 247 and even after filtering out the </w:t>
      </w:r>
      <w:r w:rsidR="00F452C7">
        <w:rPr>
          <w:rFonts w:ascii="Times New Roman" w:eastAsia="Times New Roman" w:hAnsi="Times New Roman" w:cs="Times New Roman"/>
          <w:sz w:val="24"/>
          <w:szCs w:val="24"/>
        </w:rPr>
        <w:t>low-quality</w:t>
      </w:r>
      <w:r>
        <w:rPr>
          <w:rFonts w:ascii="Times New Roman" w:eastAsia="Times New Roman" w:hAnsi="Times New Roman" w:cs="Times New Roman"/>
          <w:sz w:val="24"/>
          <w:szCs w:val="24"/>
        </w:rPr>
        <w:t xml:space="preserve"> calls, remaining 460 calls still varied in per base depth from 1 to 247. The distribution of the variant depth was left skewed indicating 13 outliers with a low depth (detected by JMP (v. Pro14.0.</w:t>
      </w:r>
      <w:r w:rsidR="00F452C7">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statis</w:t>
      </w:r>
      <w:r>
        <w:rPr>
          <w:rFonts w:ascii="Times New Roman" w:eastAsia="Times New Roman" w:hAnsi="Times New Roman" w:cs="Times New Roman"/>
          <w:sz w:val="24"/>
          <w:szCs w:val="24"/>
        </w:rPr>
        <w:t xml:space="preserve">tical software package. </w:t>
      </w:r>
      <w:r w:rsidR="00F452C7">
        <w:rPr>
          <w:rFonts w:ascii="Times New Roman" w:eastAsia="Times New Roman" w:hAnsi="Times New Roman" w:cs="Times New Roman"/>
          <w:sz w:val="24"/>
          <w:szCs w:val="24"/>
        </w:rPr>
        <w:t>Thus,</w:t>
      </w:r>
      <w:r>
        <w:rPr>
          <w:rFonts w:ascii="Times New Roman" w:eastAsia="Times New Roman" w:hAnsi="Times New Roman" w:cs="Times New Roman"/>
          <w:sz w:val="24"/>
          <w:szCs w:val="24"/>
        </w:rPr>
        <w:t xml:space="preserve"> our next post processing step was to filter away the calls with undesirable variant depth, less than 106. This excluded 13 calls plus one additional row without variant context information, leaving 446 indels. Of the indels ide</w:t>
      </w:r>
      <w:r>
        <w:rPr>
          <w:rFonts w:ascii="Times New Roman" w:eastAsia="Times New Roman" w:hAnsi="Times New Roman" w:cs="Times New Roman"/>
          <w:sz w:val="24"/>
          <w:szCs w:val="24"/>
        </w:rPr>
        <w:t>ntified, 253 were insertions while 193 were deletions. The indels represented 352 intergenomic regions (79%, IGR) and 94 were identified as coding regions CDS (21%) (</w:t>
      </w:r>
      <w:r>
        <w:rPr>
          <w:rFonts w:ascii="Times New Roman" w:eastAsia="Times New Roman" w:hAnsi="Times New Roman" w:cs="Times New Roman"/>
          <w:b/>
          <w:sz w:val="24"/>
          <w:szCs w:val="24"/>
        </w:rPr>
        <w:t>Figure 2</w:t>
      </w:r>
      <w:r>
        <w:rPr>
          <w:rFonts w:ascii="Times New Roman" w:eastAsia="Times New Roman" w:hAnsi="Times New Roman" w:cs="Times New Roman"/>
          <w:sz w:val="24"/>
          <w:szCs w:val="24"/>
        </w:rPr>
        <w:t>).</w:t>
      </w: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shd w:val="clear" w:color="auto" w:fill="F1C232"/>
        </w:rPr>
      </w:pPr>
    </w:p>
    <w:tbl>
      <w:tblPr>
        <w:tblStyle w:val="a2"/>
        <w:tblpPr w:leftFromText="180" w:rightFromText="180" w:vertAnchor="text" w:tblpXSpec="right" w:tblpY="1"/>
        <w:tblOverlap w:val="never"/>
        <w:tblW w:w="5055"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595"/>
      </w:tblGrid>
      <w:tr w:rsidR="007825A7" w:rsidTr="00F452C7">
        <w:trPr>
          <w:trHeight w:val="200"/>
          <w:jc w:val="right"/>
        </w:trPr>
        <w:tc>
          <w:tcPr>
            <w:tcW w:w="5055" w:type="dxa"/>
            <w:gridSpan w:val="2"/>
            <w:tcBorders>
              <w:bottom w:val="single" w:sz="4" w:space="0" w:color="auto"/>
            </w:tcBorders>
            <w:shd w:val="clear" w:color="auto" w:fill="BFBFBF" w:themeFill="background1" w:themeFillShade="BF"/>
            <w:tcMar>
              <w:top w:w="0" w:type="dxa"/>
              <w:left w:w="0" w:type="dxa"/>
              <w:bottom w:w="0" w:type="dxa"/>
              <w:right w:w="0" w:type="dxa"/>
            </w:tcMar>
            <w:vAlign w:val="center"/>
          </w:tcPr>
          <w:p w:rsidR="007825A7" w:rsidRDefault="001D1314" w:rsidP="00F452C7">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Trimmed to 100, max depth 250 </w:t>
            </w:r>
          </w:p>
        </w:tc>
      </w:tr>
      <w:tr w:rsidR="007825A7" w:rsidTr="00F452C7">
        <w:trPr>
          <w:trHeight w:val="200"/>
          <w:jc w:val="right"/>
        </w:trPr>
        <w:tc>
          <w:tcPr>
            <w:tcW w:w="2460" w:type="dxa"/>
            <w:tcBorders>
              <w:top w:val="single" w:sz="4" w:space="0" w:color="auto"/>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No. of Variants</w:t>
            </w:r>
          </w:p>
        </w:tc>
        <w:tc>
          <w:tcPr>
            <w:tcW w:w="2595" w:type="dxa"/>
            <w:tcBorders>
              <w:top w:val="single" w:sz="4" w:space="0" w:color="auto"/>
              <w:left w:val="single" w:sz="4" w:space="0" w:color="auto"/>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446</w:t>
            </w:r>
          </w:p>
        </w:tc>
      </w:tr>
      <w:tr w:rsidR="007825A7" w:rsidTr="00F452C7">
        <w:trPr>
          <w:trHeight w:val="240"/>
          <w:jc w:val="right"/>
        </w:trPr>
        <w:tc>
          <w:tcPr>
            <w:tcW w:w="2460"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 xml:space="preserve">Variant Type </w:t>
            </w:r>
          </w:p>
        </w:tc>
        <w:tc>
          <w:tcPr>
            <w:tcW w:w="2595" w:type="dxa"/>
            <w:tcBorders>
              <w:top w:val="nil"/>
              <w:left w:val="single" w:sz="4" w:space="0" w:color="auto"/>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indels</w:t>
            </w:r>
          </w:p>
        </w:tc>
      </w:tr>
      <w:tr w:rsidR="007825A7" w:rsidTr="00F452C7">
        <w:trPr>
          <w:trHeight w:val="260"/>
          <w:jc w:val="right"/>
        </w:trPr>
        <w:tc>
          <w:tcPr>
            <w:tcW w:w="2460"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Insertions/Deletions</w:t>
            </w:r>
          </w:p>
        </w:tc>
        <w:tc>
          <w:tcPr>
            <w:tcW w:w="2595" w:type="dxa"/>
            <w:tcBorders>
              <w:top w:val="nil"/>
              <w:left w:val="single" w:sz="4" w:space="0" w:color="auto"/>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253/193</w:t>
            </w:r>
          </w:p>
        </w:tc>
      </w:tr>
      <w:tr w:rsidR="007825A7" w:rsidTr="00F452C7">
        <w:trPr>
          <w:trHeight w:val="260"/>
          <w:jc w:val="right"/>
        </w:trPr>
        <w:tc>
          <w:tcPr>
            <w:tcW w:w="2460"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 xml:space="preserve"> % CDS Variants</w:t>
            </w:r>
          </w:p>
        </w:tc>
        <w:tc>
          <w:tcPr>
            <w:tcW w:w="2595" w:type="dxa"/>
            <w:tcBorders>
              <w:top w:val="nil"/>
              <w:left w:val="single" w:sz="4" w:space="0" w:color="auto"/>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21</w:t>
            </w:r>
          </w:p>
        </w:tc>
      </w:tr>
      <w:tr w:rsidR="007825A7" w:rsidTr="00F452C7">
        <w:trPr>
          <w:trHeight w:val="240"/>
          <w:jc w:val="right"/>
        </w:trPr>
        <w:tc>
          <w:tcPr>
            <w:tcW w:w="2460"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 xml:space="preserve">CDS Insertions/Deletions </w:t>
            </w:r>
          </w:p>
        </w:tc>
        <w:tc>
          <w:tcPr>
            <w:tcW w:w="2595" w:type="dxa"/>
            <w:tcBorders>
              <w:top w:val="nil"/>
              <w:left w:val="single" w:sz="4" w:space="0" w:color="auto"/>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56/38</w:t>
            </w:r>
          </w:p>
        </w:tc>
      </w:tr>
      <w:tr w:rsidR="007825A7" w:rsidTr="00F452C7">
        <w:trPr>
          <w:trHeight w:val="240"/>
          <w:jc w:val="right"/>
        </w:trPr>
        <w:tc>
          <w:tcPr>
            <w:tcW w:w="2460"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QS Range</w:t>
            </w:r>
          </w:p>
        </w:tc>
        <w:tc>
          <w:tcPr>
            <w:tcW w:w="2595" w:type="dxa"/>
            <w:tcBorders>
              <w:top w:val="nil"/>
              <w:left w:val="single" w:sz="4" w:space="0" w:color="auto"/>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20-228</w:t>
            </w:r>
          </w:p>
        </w:tc>
      </w:tr>
      <w:tr w:rsidR="007825A7" w:rsidTr="00F452C7">
        <w:trPr>
          <w:trHeight w:val="280"/>
          <w:jc w:val="right"/>
        </w:trPr>
        <w:tc>
          <w:tcPr>
            <w:tcW w:w="2460" w:type="dxa"/>
            <w:tcBorders>
              <w:top w:val="nil"/>
              <w:left w:val="single" w:sz="4" w:space="0" w:color="auto"/>
              <w:bottom w:val="nil"/>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Median QS</w:t>
            </w:r>
          </w:p>
        </w:tc>
        <w:tc>
          <w:tcPr>
            <w:tcW w:w="2595" w:type="dxa"/>
            <w:tcBorders>
              <w:top w:val="nil"/>
              <w:left w:val="single" w:sz="4" w:space="0" w:color="auto"/>
              <w:bottom w:val="nil"/>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115</w:t>
            </w:r>
          </w:p>
        </w:tc>
      </w:tr>
      <w:tr w:rsidR="007825A7" w:rsidTr="00F452C7">
        <w:trPr>
          <w:trHeight w:val="280"/>
          <w:jc w:val="right"/>
        </w:trPr>
        <w:tc>
          <w:tcPr>
            <w:tcW w:w="2460" w:type="dxa"/>
            <w:tcBorders>
              <w:top w:val="nil"/>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bCs/>
                <w:sz w:val="18"/>
                <w:szCs w:val="18"/>
              </w:rPr>
            </w:pPr>
            <w:r w:rsidRPr="00F452C7">
              <w:rPr>
                <w:rFonts w:ascii="Times New Roman" w:eastAsia="Times New Roman" w:hAnsi="Times New Roman" w:cs="Times New Roman"/>
                <w:bCs/>
                <w:sz w:val="18"/>
                <w:szCs w:val="18"/>
              </w:rPr>
              <w:t>Per Base Depth (range)</w:t>
            </w:r>
          </w:p>
        </w:tc>
        <w:tc>
          <w:tcPr>
            <w:tcW w:w="2595" w:type="dxa"/>
            <w:tcBorders>
              <w:top w:val="nil"/>
              <w:left w:val="single" w:sz="4" w:space="0" w:color="auto"/>
              <w:bottom w:val="single" w:sz="4" w:space="0" w:color="auto"/>
              <w:right w:val="single" w:sz="4" w:space="0" w:color="auto"/>
            </w:tcBorders>
            <w:shd w:val="clear" w:color="auto" w:fill="auto"/>
            <w:tcMar>
              <w:top w:w="0" w:type="dxa"/>
              <w:left w:w="0" w:type="dxa"/>
              <w:bottom w:w="0" w:type="dxa"/>
              <w:right w:w="0" w:type="dxa"/>
            </w:tcMar>
            <w:vAlign w:val="center"/>
          </w:tcPr>
          <w:p w:rsidR="007825A7" w:rsidRPr="00F452C7" w:rsidRDefault="001D1314" w:rsidP="00F452C7">
            <w:pPr>
              <w:widowControl w:val="0"/>
              <w:spacing w:line="240" w:lineRule="auto"/>
              <w:jc w:val="center"/>
              <w:rPr>
                <w:rFonts w:ascii="Times New Roman" w:eastAsia="Times New Roman" w:hAnsi="Times New Roman" w:cs="Times New Roman"/>
                <w:sz w:val="18"/>
                <w:szCs w:val="18"/>
              </w:rPr>
            </w:pPr>
            <w:r w:rsidRPr="00F452C7">
              <w:rPr>
                <w:rFonts w:ascii="Times New Roman" w:eastAsia="Times New Roman" w:hAnsi="Times New Roman" w:cs="Times New Roman"/>
                <w:sz w:val="18"/>
                <w:szCs w:val="18"/>
              </w:rPr>
              <w:t>106-247</w:t>
            </w:r>
          </w:p>
        </w:tc>
      </w:tr>
    </w:tbl>
    <w:p w:rsidR="00F452C7" w:rsidRDefault="00F452C7">
      <w:pPr>
        <w:spacing w:line="240" w:lineRule="auto"/>
        <w:rPr>
          <w:rFonts w:ascii="Times New Roman" w:eastAsia="Times New Roman" w:hAnsi="Times New Roman" w:cs="Times New Roman"/>
          <w:b/>
          <w:sz w:val="20"/>
          <w:szCs w:val="20"/>
        </w:rPr>
      </w:pPr>
    </w:p>
    <w:p w:rsidR="00F452C7" w:rsidRDefault="00F452C7">
      <w:pPr>
        <w:spacing w:line="240" w:lineRule="auto"/>
        <w:rPr>
          <w:rFonts w:ascii="Times New Roman" w:eastAsia="Times New Roman" w:hAnsi="Times New Roman" w:cs="Times New Roman"/>
          <w:b/>
          <w:sz w:val="20"/>
          <w:szCs w:val="20"/>
        </w:rPr>
      </w:pPr>
    </w:p>
    <w:p w:rsidR="007825A7" w:rsidRDefault="001D1314">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Table 2. </w:t>
      </w:r>
      <w:r>
        <w:rPr>
          <w:rFonts w:ascii="Times New Roman" w:eastAsia="Times New Roman" w:hAnsi="Times New Roman" w:cs="Times New Roman"/>
          <w:sz w:val="20"/>
          <w:szCs w:val="20"/>
        </w:rPr>
        <w:t xml:space="preserve">Results obtained post-sorting the </w:t>
      </w:r>
      <w:proofErr w:type="spellStart"/>
      <w:r>
        <w:rPr>
          <w:rFonts w:ascii="Times New Roman" w:eastAsia="Times New Roman" w:hAnsi="Times New Roman" w:cs="Times New Roman"/>
          <w:sz w:val="20"/>
          <w:szCs w:val="20"/>
        </w:rPr>
        <w:t>bcftools</w:t>
      </w:r>
      <w:proofErr w:type="spellEnd"/>
      <w:r>
        <w:rPr>
          <w:rFonts w:ascii="Times New Roman" w:eastAsia="Times New Roman" w:hAnsi="Times New Roman" w:cs="Times New Roman"/>
          <w:sz w:val="20"/>
          <w:szCs w:val="20"/>
        </w:rPr>
        <w:t xml:space="preserve"> data for reads trimmed to 100 bp and excluding reads &lt; 100 bp with maximum depth set at 250 for </w:t>
      </w:r>
      <w:proofErr w:type="spellStart"/>
      <w:r>
        <w:rPr>
          <w:rFonts w:ascii="Times New Roman" w:eastAsia="Times New Roman" w:hAnsi="Times New Roman" w:cs="Times New Roman"/>
          <w:sz w:val="20"/>
          <w:szCs w:val="20"/>
        </w:rPr>
        <w:t>bcftools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mpileup</w:t>
      </w:r>
      <w:proofErr w:type="spellEnd"/>
      <w:r>
        <w:rPr>
          <w:rFonts w:ascii="Times New Roman" w:eastAsia="Times New Roman" w:hAnsi="Times New Roman" w:cs="Times New Roman"/>
          <w:sz w:val="20"/>
          <w:szCs w:val="20"/>
        </w:rPr>
        <w:t xml:space="preserve">. All variants included in the table have an associated p-value of </w:t>
      </w:r>
      <w:r>
        <w:rPr>
          <w:rFonts w:ascii="Cambria Math" w:eastAsia="Cambria Math" w:hAnsi="Cambria Math" w:cs="Cambria Math"/>
          <w:sz w:val="20"/>
          <w:szCs w:val="20"/>
        </w:rPr>
        <w:t>≦</w:t>
      </w:r>
      <w:r>
        <w:rPr>
          <w:rFonts w:ascii="Times New Roman" w:eastAsia="Times New Roman" w:hAnsi="Times New Roman" w:cs="Times New Roman"/>
          <w:sz w:val="20"/>
          <w:szCs w:val="20"/>
        </w:rPr>
        <w:t xml:space="preserve"> 0.01. </w:t>
      </w:r>
    </w:p>
    <w:p w:rsidR="00F452C7" w:rsidRDefault="00F452C7">
      <w:pPr>
        <w:spacing w:line="240" w:lineRule="auto"/>
        <w:rPr>
          <w:rFonts w:ascii="Times New Roman" w:eastAsia="Times New Roman" w:hAnsi="Times New Roman" w:cs="Times New Roman"/>
          <w:sz w:val="20"/>
          <w:szCs w:val="20"/>
        </w:rPr>
      </w:pPr>
    </w:p>
    <w:p w:rsidR="00F452C7" w:rsidRDefault="00F452C7">
      <w:pPr>
        <w:spacing w:line="240" w:lineRule="auto"/>
        <w:jc w:val="center"/>
        <w:rPr>
          <w:rFonts w:ascii="Calibri" w:eastAsia="Calibri" w:hAnsi="Calibri" w:cs="Calibri"/>
        </w:rPr>
      </w:pPr>
    </w:p>
    <w:p w:rsidR="007825A7" w:rsidRDefault="007825A7" w:rsidP="00F452C7">
      <w:pPr>
        <w:spacing w:line="240" w:lineRule="auto"/>
        <w:rPr>
          <w:rFonts w:ascii="Calibri" w:eastAsia="Calibri" w:hAnsi="Calibri" w:cs="Calibri"/>
        </w:rPr>
      </w:pPr>
    </w:p>
    <w:p w:rsidR="00F452C7" w:rsidRDefault="00F452C7">
      <w:pPr>
        <w:spacing w:line="240" w:lineRule="auto"/>
        <w:rPr>
          <w:rFonts w:ascii="Times New Roman" w:eastAsia="Times New Roman" w:hAnsi="Times New Roman" w:cs="Times New Roman"/>
          <w:b/>
          <w:sz w:val="20"/>
          <w:szCs w:val="20"/>
        </w:rPr>
      </w:pPr>
      <w:r>
        <w:rPr>
          <w:rFonts w:ascii="Calibri" w:eastAsia="Calibri" w:hAnsi="Calibri" w:cs="Calibri"/>
          <w:noProof/>
        </w:rPr>
        <w:drawing>
          <wp:anchor distT="0" distB="0" distL="114300" distR="114300" simplePos="0" relativeHeight="251666432" behindDoc="0" locked="0" layoutInCell="1" allowOverlap="1">
            <wp:simplePos x="0" y="0"/>
            <wp:positionH relativeFrom="margin">
              <wp:posOffset>1965325</wp:posOffset>
            </wp:positionH>
            <wp:positionV relativeFrom="paragraph">
              <wp:posOffset>124594</wp:posOffset>
            </wp:positionV>
            <wp:extent cx="4069080" cy="2240280"/>
            <wp:effectExtent l="0" t="0" r="0" b="0"/>
            <wp:wrapThrough wrapText="left">
              <wp:wrapPolygon edited="0">
                <wp:start x="0" y="0"/>
                <wp:lineTo x="0" y="21429"/>
                <wp:lineTo x="21506" y="21429"/>
                <wp:lineTo x="21506" y="0"/>
                <wp:lineTo x="0" y="0"/>
              </wp:wrapPolygon>
            </wp:wrapThrough>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cstate="print">
                      <a:extLst>
                        <a:ext uri="{28A0092B-C50C-407E-A947-70E740481C1C}">
                          <a14:useLocalDpi xmlns:a14="http://schemas.microsoft.com/office/drawing/2010/main" val="0"/>
                        </a:ext>
                      </a:extLst>
                    </a:blip>
                    <a:srcRect/>
                    <a:stretch>
                      <a:fillRect/>
                    </a:stretch>
                  </pic:blipFill>
                  <pic:spPr>
                    <a:xfrm>
                      <a:off x="0" y="0"/>
                      <a:ext cx="4069080" cy="2240280"/>
                    </a:xfrm>
                    <a:prstGeom prst="rect">
                      <a:avLst/>
                    </a:prstGeom>
                    <a:ln/>
                  </pic:spPr>
                </pic:pic>
              </a:graphicData>
            </a:graphic>
            <wp14:sizeRelH relativeFrom="margin">
              <wp14:pctWidth>0</wp14:pctWidth>
            </wp14:sizeRelH>
            <wp14:sizeRelV relativeFrom="margin">
              <wp14:pctHeight>0</wp14:pctHeight>
            </wp14:sizeRelV>
          </wp:anchor>
        </w:drawing>
      </w:r>
    </w:p>
    <w:p w:rsidR="007825A7" w:rsidRDefault="001D1314">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 </w:t>
      </w:r>
      <w:r>
        <w:rPr>
          <w:rFonts w:ascii="Times New Roman" w:eastAsia="Times New Roman" w:hAnsi="Times New Roman" w:cs="Times New Roman"/>
          <w:sz w:val="20"/>
          <w:szCs w:val="20"/>
        </w:rPr>
        <w:t xml:space="preserve">WGS of </w:t>
      </w:r>
      <w:r>
        <w:rPr>
          <w:rFonts w:ascii="Times New Roman" w:eastAsia="Times New Roman" w:hAnsi="Times New Roman" w:cs="Times New Roman"/>
          <w:i/>
          <w:sz w:val="20"/>
          <w:szCs w:val="20"/>
        </w:rPr>
        <w:t xml:space="preserve">LM </w:t>
      </w:r>
      <w:r>
        <w:rPr>
          <w:rFonts w:ascii="Times New Roman" w:eastAsia="Times New Roman" w:hAnsi="Times New Roman" w:cs="Times New Roman"/>
          <w:sz w:val="20"/>
          <w:szCs w:val="20"/>
        </w:rPr>
        <w:t xml:space="preserve">of </w:t>
      </w:r>
      <w:r>
        <w:rPr>
          <w:rFonts w:ascii="Times New Roman" w:eastAsia="Times New Roman" w:hAnsi="Times New Roman" w:cs="Times New Roman"/>
          <w:sz w:val="20"/>
          <w:szCs w:val="20"/>
        </w:rPr>
        <w:t xml:space="preserve">Lineage II (LMNC088) was aligned with </w:t>
      </w:r>
      <w:r>
        <w:rPr>
          <w:rFonts w:ascii="Times New Roman" w:eastAsia="Times New Roman" w:hAnsi="Times New Roman" w:cs="Times New Roman"/>
          <w:i/>
          <w:sz w:val="20"/>
          <w:szCs w:val="20"/>
        </w:rPr>
        <w:t>LM</w:t>
      </w:r>
      <w:r>
        <w:rPr>
          <w:rFonts w:ascii="Times New Roman" w:eastAsia="Times New Roman" w:hAnsi="Times New Roman" w:cs="Times New Roman"/>
          <w:sz w:val="20"/>
          <w:szCs w:val="20"/>
        </w:rPr>
        <w:t xml:space="preserve"> sequence of lineage I (JF5861, reference). After quality and per base depth filtering, 446 Indels, as represented by the markers, were recognized and their approximate position is identified in the plot. Gold triang</w:t>
      </w:r>
      <w:r>
        <w:rPr>
          <w:rFonts w:ascii="Times New Roman" w:eastAsia="Times New Roman" w:hAnsi="Times New Roman" w:cs="Times New Roman"/>
          <w:sz w:val="20"/>
          <w:szCs w:val="20"/>
        </w:rPr>
        <w:t>les represent intergenomic region (IGR, 79%) and blue dots represent the protein coding sequences (CDS, 21%). Empty markers (triangles and circles) indicate deletions, while full markers indicate insertions.</w:t>
      </w:r>
    </w:p>
    <w:p w:rsidR="00F452C7" w:rsidRDefault="00F452C7">
      <w:pPr>
        <w:spacing w:line="240" w:lineRule="auto"/>
        <w:rPr>
          <w:rFonts w:ascii="Times New Roman" w:eastAsia="Times New Roman" w:hAnsi="Times New Roman" w:cs="Times New Roman"/>
          <w:sz w:val="20"/>
          <w:szCs w:val="20"/>
        </w:rPr>
      </w:pPr>
    </w:p>
    <w:p w:rsidR="007825A7" w:rsidRDefault="001D1314">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rsidR="007825A7" w:rsidRDefault="001D1314">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rsidR="007825A7" w:rsidRDefault="001D13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experiment was to align sequenced reads from </w:t>
      </w:r>
      <w:r>
        <w:rPr>
          <w:rFonts w:ascii="Times New Roman" w:eastAsia="Times New Roman" w:hAnsi="Times New Roman" w:cs="Times New Roman"/>
          <w:i/>
          <w:sz w:val="24"/>
          <w:szCs w:val="24"/>
        </w:rPr>
        <w:t xml:space="preserve">LM </w:t>
      </w:r>
      <w:r>
        <w:rPr>
          <w:rFonts w:ascii="Times New Roman" w:eastAsia="Times New Roman" w:hAnsi="Times New Roman" w:cs="Times New Roman"/>
          <w:sz w:val="24"/>
          <w:szCs w:val="24"/>
        </w:rPr>
        <w:t>(LMNC088)</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lineage II strain to </w:t>
      </w:r>
      <w:r>
        <w:rPr>
          <w:rFonts w:ascii="Times New Roman" w:eastAsia="Times New Roman" w:hAnsi="Times New Roman" w:cs="Times New Roman"/>
          <w:i/>
          <w:sz w:val="24"/>
          <w:szCs w:val="24"/>
        </w:rPr>
        <w:t>LM</w:t>
      </w:r>
      <w:r>
        <w:rPr>
          <w:rFonts w:ascii="Times New Roman" w:eastAsia="Times New Roman" w:hAnsi="Times New Roman" w:cs="Times New Roman"/>
          <w:sz w:val="24"/>
          <w:szCs w:val="24"/>
        </w:rPr>
        <w:t xml:space="preserve"> (JF5861) lineage I reference strain in order to identify genomic variability in genomic structure. Due to the virulent nature of the reference genome, w</w:t>
      </w:r>
      <w:r>
        <w:rPr>
          <w:rFonts w:ascii="Times New Roman" w:eastAsia="Times New Roman" w:hAnsi="Times New Roman" w:cs="Times New Roman"/>
          <w:sz w:val="24"/>
          <w:szCs w:val="24"/>
        </w:rPr>
        <w:t xml:space="preserve">e were interested in identifying the number of SNPs and/or indels in the non-virulent lineage II strain of </w:t>
      </w:r>
      <w:r>
        <w:rPr>
          <w:rFonts w:ascii="Times New Roman" w:eastAsia="Times New Roman" w:hAnsi="Times New Roman" w:cs="Times New Roman"/>
          <w:i/>
          <w:sz w:val="24"/>
          <w:szCs w:val="24"/>
        </w:rPr>
        <w:t xml:space="preserve">LM. </w:t>
      </w:r>
      <w:r>
        <w:rPr>
          <w:rFonts w:ascii="Times New Roman" w:eastAsia="Times New Roman" w:hAnsi="Times New Roman" w:cs="Times New Roman"/>
          <w:sz w:val="24"/>
          <w:szCs w:val="24"/>
        </w:rPr>
        <w:t xml:space="preserve">Through the use of BWA, SAMtools, and </w:t>
      </w:r>
      <w:proofErr w:type="spellStart"/>
      <w:r>
        <w:rPr>
          <w:rFonts w:ascii="Times New Roman" w:eastAsia="Times New Roman" w:hAnsi="Times New Roman" w:cs="Times New Roman"/>
          <w:sz w:val="24"/>
          <w:szCs w:val="24"/>
        </w:rPr>
        <w:t>bcftools</w:t>
      </w:r>
      <w:proofErr w:type="spellEnd"/>
      <w:r>
        <w:rPr>
          <w:rFonts w:ascii="Times New Roman" w:eastAsia="Times New Roman" w:hAnsi="Times New Roman" w:cs="Times New Roman"/>
          <w:sz w:val="24"/>
          <w:szCs w:val="24"/>
        </w:rPr>
        <w:t xml:space="preserve">, we identified 446 genomic variants in </w:t>
      </w:r>
      <w:r>
        <w:rPr>
          <w:rFonts w:ascii="Times New Roman" w:eastAsia="Times New Roman" w:hAnsi="Times New Roman" w:cs="Times New Roman"/>
          <w:i/>
          <w:sz w:val="24"/>
          <w:szCs w:val="24"/>
        </w:rPr>
        <w:t xml:space="preserve">LM </w:t>
      </w:r>
      <w:r>
        <w:rPr>
          <w:rFonts w:ascii="Times New Roman" w:eastAsia="Times New Roman" w:hAnsi="Times New Roman" w:cs="Times New Roman"/>
          <w:sz w:val="24"/>
          <w:szCs w:val="24"/>
        </w:rPr>
        <w:t xml:space="preserve">lineage II in comparison to the </w:t>
      </w:r>
      <w:r>
        <w:rPr>
          <w:rFonts w:ascii="Times New Roman" w:eastAsia="Times New Roman" w:hAnsi="Times New Roman" w:cs="Times New Roman"/>
          <w:i/>
          <w:sz w:val="24"/>
          <w:szCs w:val="24"/>
        </w:rPr>
        <w:t xml:space="preserve">LM </w:t>
      </w:r>
      <w:r>
        <w:rPr>
          <w:rFonts w:ascii="Times New Roman" w:eastAsia="Times New Roman" w:hAnsi="Times New Roman" w:cs="Times New Roman"/>
          <w:sz w:val="24"/>
          <w:szCs w:val="24"/>
        </w:rPr>
        <w:t>lineage I reference g</w:t>
      </w:r>
      <w:r>
        <w:rPr>
          <w:rFonts w:ascii="Times New Roman" w:eastAsia="Times New Roman" w:hAnsi="Times New Roman" w:cs="Times New Roman"/>
          <w:sz w:val="24"/>
          <w:szCs w:val="24"/>
        </w:rPr>
        <w:t>enome. All variants were indels with 253 insertions and 193 deletions.</w:t>
      </w:r>
    </w:p>
    <w:p w:rsidR="007825A7" w:rsidRDefault="001D1314">
      <w:pPr>
        <w:spacing w:line="240" w:lineRule="auto"/>
        <w:ind w:firstLine="72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The pipeline implemented throughout this module varied little in software use and more in command use.  The process of quality control with the </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program revealed variation within </w:t>
      </w:r>
      <w:r>
        <w:rPr>
          <w:rFonts w:ascii="Times New Roman" w:eastAsia="Times New Roman" w:hAnsi="Times New Roman" w:cs="Times New Roman"/>
          <w:sz w:val="24"/>
          <w:szCs w:val="24"/>
        </w:rPr>
        <w:t>our quality scores across all bases. Consistently complications arose with read 2 having too many bases in the less preferred low-quality area as compared to read 1. This could be a result of Illumina's sequencing-by-synthesis method, essentially, the more</w:t>
      </w:r>
      <w:r>
        <w:rPr>
          <w:rFonts w:ascii="Times New Roman" w:eastAsia="Times New Roman" w:hAnsi="Times New Roman" w:cs="Times New Roman"/>
          <w:sz w:val="24"/>
          <w:szCs w:val="24"/>
        </w:rPr>
        <w:t xml:space="preserve"> cycles run, the noisier the signal or even a product of improper library construction. </w:t>
      </w:r>
      <w:proofErr w:type="spellStart"/>
      <w:r>
        <w:rPr>
          <w:rFonts w:ascii="Times New Roman" w:eastAsia="Times New Roman" w:hAnsi="Times New Roman" w:cs="Times New Roman"/>
          <w:sz w:val="24"/>
          <w:szCs w:val="24"/>
        </w:rPr>
        <w:t>Trimommatic</w:t>
      </w:r>
      <w:proofErr w:type="spellEnd"/>
      <w:r>
        <w:rPr>
          <w:rFonts w:ascii="Times New Roman" w:eastAsia="Times New Roman" w:hAnsi="Times New Roman" w:cs="Times New Roman"/>
          <w:sz w:val="24"/>
          <w:szCs w:val="24"/>
        </w:rPr>
        <w:t xml:space="preserve"> command line tool, utilizing the paired end mode, enabled us to trim the Illumina (FASTQ) data after we detected the presence of low-quality bases. A vital </w:t>
      </w:r>
      <w:r>
        <w:rPr>
          <w:rFonts w:ascii="Times New Roman" w:eastAsia="Times New Roman" w:hAnsi="Times New Roman" w:cs="Times New Roman"/>
          <w:sz w:val="24"/>
          <w:szCs w:val="24"/>
        </w:rPr>
        <w:t xml:space="preserve">lesson learned by </w:t>
      </w:r>
      <w:proofErr w:type="spellStart"/>
      <w:r>
        <w:rPr>
          <w:rFonts w:ascii="Times New Roman" w:eastAsia="Times New Roman" w:hAnsi="Times New Roman" w:cs="Times New Roman"/>
          <w:sz w:val="24"/>
          <w:szCs w:val="24"/>
        </w:rPr>
        <w:t>nkob</w:t>
      </w:r>
      <w:proofErr w:type="spellEnd"/>
      <w:r>
        <w:rPr>
          <w:rFonts w:ascii="Times New Roman" w:eastAsia="Times New Roman" w:hAnsi="Times New Roman" w:cs="Times New Roman"/>
          <w:sz w:val="24"/>
          <w:szCs w:val="24"/>
        </w:rPr>
        <w:t xml:space="preserve"> was to read the manual for the particular version of the software and visit blogs of people who use the software, or blogs of developers for ideas and command changes. For example, the </w:t>
      </w:r>
      <w:r w:rsidR="00F452C7">
        <w:rPr>
          <w:rFonts w:ascii="Times New Roman" w:eastAsia="Times New Roman" w:hAnsi="Times New Roman" w:cs="Times New Roman"/>
          <w:sz w:val="24"/>
          <w:szCs w:val="24"/>
        </w:rPr>
        <w:t>SAM</w:t>
      </w:r>
      <w:r>
        <w:rPr>
          <w:rFonts w:ascii="Times New Roman" w:eastAsia="Times New Roman" w:hAnsi="Times New Roman" w:cs="Times New Roman"/>
          <w:sz w:val="24"/>
          <w:szCs w:val="24"/>
        </w:rPr>
        <w:t xml:space="preserve">tools v. 0.1.19 has some required options or </w:t>
      </w:r>
      <w:r>
        <w:rPr>
          <w:rFonts w:ascii="Times New Roman" w:eastAsia="Times New Roman" w:hAnsi="Times New Roman" w:cs="Times New Roman"/>
          <w:sz w:val="24"/>
          <w:szCs w:val="24"/>
        </w:rPr>
        <w:t xml:space="preserve">arguments in the view and sort commands, while they may be set as default in the newer versions. Another lesson learned throughout the process was in times of error, running each step individually will allow the error to be determined at the precise step. </w:t>
      </w:r>
      <w:r>
        <w:rPr>
          <w:rFonts w:ascii="Times New Roman" w:eastAsia="Times New Roman" w:hAnsi="Times New Roman" w:cs="Times New Roman"/>
          <w:sz w:val="24"/>
          <w:szCs w:val="24"/>
        </w:rPr>
        <w:t xml:space="preserve">For </w:t>
      </w:r>
      <w:r w:rsidR="00F452C7">
        <w:rPr>
          <w:rFonts w:ascii="Times New Roman" w:eastAsia="Times New Roman" w:hAnsi="Times New Roman" w:cs="Times New Roman"/>
          <w:sz w:val="24"/>
          <w:szCs w:val="24"/>
        </w:rPr>
        <w:t>example,</w:t>
      </w:r>
      <w:r>
        <w:rPr>
          <w:rFonts w:ascii="Times New Roman" w:eastAsia="Times New Roman" w:hAnsi="Times New Roman" w:cs="Times New Roman"/>
          <w:sz w:val="24"/>
          <w:szCs w:val="24"/>
        </w:rPr>
        <w:t xml:space="preserve"> when conducting </w:t>
      </w:r>
      <w:r w:rsidR="00F452C7">
        <w:rPr>
          <w:rFonts w:ascii="Times New Roman" w:eastAsia="Times New Roman" w:hAnsi="Times New Roman" w:cs="Times New Roman"/>
          <w:sz w:val="24"/>
          <w:szCs w:val="24"/>
        </w:rPr>
        <w:t>BWA, SAMtools</w:t>
      </w:r>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bcftools</w:t>
      </w:r>
      <w:proofErr w:type="spellEnd"/>
      <w:r>
        <w:rPr>
          <w:rFonts w:ascii="Times New Roman" w:eastAsia="Times New Roman" w:hAnsi="Times New Roman" w:cs="Times New Roman"/>
          <w:sz w:val="24"/>
          <w:szCs w:val="24"/>
        </w:rPr>
        <w:t xml:space="preserve"> we kept receiving an error code after the run, we would copy the error code sent and use the less command to identify the error. After further confusion of error identification </w:t>
      </w:r>
      <w:r>
        <w:rPr>
          <w:rFonts w:ascii="Times New Roman" w:eastAsia="Times New Roman" w:hAnsi="Times New Roman" w:cs="Times New Roman"/>
          <w:sz w:val="24"/>
          <w:szCs w:val="24"/>
        </w:rPr>
        <w:lastRenderedPageBreak/>
        <w:t>we ran each step separat</w:t>
      </w:r>
      <w:r>
        <w:rPr>
          <w:rFonts w:ascii="Times New Roman" w:eastAsia="Times New Roman" w:hAnsi="Times New Roman" w:cs="Times New Roman"/>
          <w:sz w:val="24"/>
          <w:szCs w:val="24"/>
        </w:rPr>
        <w:t xml:space="preserve">ely and the modification to the provided script was </w:t>
      </w:r>
      <w:r w:rsidRPr="00F452C7">
        <w:rPr>
          <w:rFonts w:ascii="Times New Roman" w:eastAsia="Times New Roman" w:hAnsi="Times New Roman" w:cs="Times New Roman"/>
          <w:sz w:val="24"/>
          <w:szCs w:val="24"/>
        </w:rPr>
        <w:t>not</w:t>
      </w:r>
      <w:r w:rsidRPr="00F452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proofErr w:type="gramStart"/>
      <w:r>
        <w:rPr>
          <w:rFonts w:ascii="Times New Roman" w:eastAsia="Times New Roman" w:hAnsi="Times New Roman" w:cs="Times New Roman"/>
          <w:sz w:val="24"/>
          <w:szCs w:val="24"/>
        </w:rPr>
        <w:t>include .bam</w:t>
      </w:r>
      <w:proofErr w:type="gramEnd"/>
      <w:r>
        <w:rPr>
          <w:rFonts w:ascii="Times New Roman" w:eastAsia="Times New Roman" w:hAnsi="Times New Roman" w:cs="Times New Roman"/>
          <w:sz w:val="24"/>
          <w:szCs w:val="24"/>
        </w:rPr>
        <w:t xml:space="preserve"> after </w:t>
      </w:r>
      <w:proofErr w:type="spellStart"/>
      <w:r>
        <w:rPr>
          <w:rFonts w:ascii="Times New Roman" w:eastAsia="Times New Roman" w:hAnsi="Times New Roman" w:cs="Times New Roman"/>
          <w:sz w:val="24"/>
          <w:szCs w:val="24"/>
        </w:rPr>
        <w:t>file.sorted</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samtools</w:t>
      </w:r>
      <w:proofErr w:type="spellEnd"/>
      <w:r>
        <w:rPr>
          <w:rFonts w:ascii="Times New Roman" w:eastAsia="Times New Roman" w:hAnsi="Times New Roman" w:cs="Times New Roman"/>
          <w:sz w:val="24"/>
          <w:szCs w:val="24"/>
        </w:rPr>
        <w:t xml:space="preserve"> would do it automatically. Failure to do this </w:t>
      </w:r>
      <w:proofErr w:type="gramStart"/>
      <w:r>
        <w:rPr>
          <w:rFonts w:ascii="Times New Roman" w:eastAsia="Times New Roman" w:hAnsi="Times New Roman" w:cs="Times New Roman"/>
          <w:sz w:val="24"/>
          <w:szCs w:val="24"/>
        </w:rPr>
        <w:t>generated .</w:t>
      </w:r>
      <w:proofErr w:type="spellStart"/>
      <w:proofErr w:type="gramEnd"/>
      <w:r>
        <w:rPr>
          <w:rFonts w:ascii="Times New Roman" w:eastAsia="Times New Roman" w:hAnsi="Times New Roman" w:cs="Times New Roman"/>
          <w:sz w:val="24"/>
          <w:szCs w:val="24"/>
        </w:rPr>
        <w:t>bam.bam</w:t>
      </w:r>
      <w:proofErr w:type="spellEnd"/>
      <w:r>
        <w:rPr>
          <w:rFonts w:ascii="Times New Roman" w:eastAsia="Times New Roman" w:hAnsi="Times New Roman" w:cs="Times New Roman"/>
          <w:sz w:val="24"/>
          <w:szCs w:val="24"/>
        </w:rPr>
        <w:t xml:space="preserve"> file and the pipeline was interrupted before the next step. Initially, the </w:t>
      </w:r>
      <w:proofErr w:type="spellStart"/>
      <w:r>
        <w:rPr>
          <w:rFonts w:ascii="Times New Roman" w:eastAsia="Times New Roman" w:hAnsi="Times New Roman" w:cs="Times New Roman"/>
          <w:sz w:val="24"/>
          <w:szCs w:val="24"/>
        </w:rPr>
        <w:t>egrep</w:t>
      </w:r>
      <w:proofErr w:type="spellEnd"/>
      <w:r>
        <w:rPr>
          <w:rFonts w:ascii="Times New Roman" w:eastAsia="Times New Roman" w:hAnsi="Times New Roman" w:cs="Times New Roman"/>
          <w:sz w:val="24"/>
          <w:szCs w:val="24"/>
        </w:rPr>
        <w:t xml:space="preserve"> comman</w:t>
      </w:r>
      <w:r>
        <w:rPr>
          <w:rFonts w:ascii="Times New Roman" w:eastAsia="Times New Roman" w:hAnsi="Times New Roman" w:cs="Times New Roman"/>
          <w:sz w:val="24"/>
          <w:szCs w:val="24"/>
        </w:rPr>
        <w:t xml:space="preserve">d was implemented to sort the </w:t>
      </w:r>
      <w:proofErr w:type="spellStart"/>
      <w:r>
        <w:rPr>
          <w:rFonts w:ascii="Times New Roman" w:eastAsia="Times New Roman" w:hAnsi="Times New Roman" w:cs="Times New Roman"/>
          <w:sz w:val="24"/>
          <w:szCs w:val="24"/>
        </w:rPr>
        <w:t>vcf</w:t>
      </w:r>
      <w:proofErr w:type="spellEnd"/>
      <w:r>
        <w:rPr>
          <w:rFonts w:ascii="Times New Roman" w:eastAsia="Times New Roman" w:hAnsi="Times New Roman" w:cs="Times New Roman"/>
          <w:sz w:val="24"/>
          <w:szCs w:val="24"/>
        </w:rPr>
        <w:t xml:space="preserve"> file to generate a file with variants only. However, after experiencing difficulty with the </w:t>
      </w:r>
      <w:proofErr w:type="spellStart"/>
      <w:r>
        <w:rPr>
          <w:rFonts w:ascii="Times New Roman" w:eastAsia="Times New Roman" w:hAnsi="Times New Roman" w:cs="Times New Roman"/>
          <w:sz w:val="24"/>
          <w:szCs w:val="24"/>
        </w:rPr>
        <w:t>egrep</w:t>
      </w:r>
      <w:proofErr w:type="spellEnd"/>
      <w:r>
        <w:rPr>
          <w:rFonts w:ascii="Times New Roman" w:eastAsia="Times New Roman" w:hAnsi="Times New Roman" w:cs="Times New Roman"/>
          <w:sz w:val="24"/>
          <w:szCs w:val="24"/>
        </w:rPr>
        <w:t xml:space="preserve"> command, it was decided to move forward with the addition of the -v (variants only) parameter. We utilized the command -v (v</w:t>
      </w:r>
      <w:r>
        <w:rPr>
          <w:rFonts w:ascii="Times New Roman" w:eastAsia="Times New Roman" w:hAnsi="Times New Roman" w:cs="Times New Roman"/>
          <w:sz w:val="24"/>
          <w:szCs w:val="24"/>
        </w:rPr>
        <w:t xml:space="preserve">ariants only) in </w:t>
      </w:r>
      <w:proofErr w:type="spellStart"/>
      <w:r>
        <w:rPr>
          <w:rFonts w:ascii="Times New Roman" w:eastAsia="Times New Roman" w:hAnsi="Times New Roman" w:cs="Times New Roman"/>
          <w:sz w:val="24"/>
          <w:szCs w:val="24"/>
        </w:rPr>
        <w:t>bcftools</w:t>
      </w:r>
      <w:proofErr w:type="spellEnd"/>
      <w:r>
        <w:rPr>
          <w:rFonts w:ascii="Times New Roman" w:eastAsia="Times New Roman" w:hAnsi="Times New Roman" w:cs="Times New Roman"/>
          <w:sz w:val="24"/>
          <w:szCs w:val="24"/>
        </w:rPr>
        <w:t xml:space="preserve"> call, to directly generate the list of variants which omitted the need for further sorting. The final lesson learned was to keep the scratch folder organized. Normally, when new files happen to have the same name as the existing f</w:t>
      </w:r>
      <w:r>
        <w:rPr>
          <w:rFonts w:ascii="Times New Roman" w:eastAsia="Times New Roman" w:hAnsi="Times New Roman" w:cs="Times New Roman"/>
          <w:sz w:val="24"/>
          <w:szCs w:val="24"/>
        </w:rPr>
        <w:t>iles in the scratch folder, they would be automatically replaced with the new content. This fact was taken advantage of, to save time, especially when trying multiple (about 10) variations of the code. However, there is an exception to every rule. If one r</w:t>
      </w:r>
      <w:r>
        <w:rPr>
          <w:rFonts w:ascii="Times New Roman" w:eastAsia="Times New Roman" w:hAnsi="Times New Roman" w:cs="Times New Roman"/>
          <w:sz w:val="24"/>
          <w:szCs w:val="24"/>
        </w:rPr>
        <w:t>ealizes later that some useful results were actually generated despite the error message from Spruce, if the files are replaced every time, and only the newest copy was kept the old content is gone. Keeping the things properly labelled helped us to utilize</w:t>
      </w:r>
      <w:r>
        <w:rPr>
          <w:rFonts w:ascii="Times New Roman" w:eastAsia="Times New Roman" w:hAnsi="Times New Roman" w:cs="Times New Roman"/>
          <w:sz w:val="24"/>
          <w:szCs w:val="24"/>
        </w:rPr>
        <w:t xml:space="preserve"> the older </w:t>
      </w:r>
      <w:r w:rsidR="00F452C7">
        <w:rPr>
          <w:rFonts w:ascii="Times New Roman" w:eastAsia="Times New Roman" w:hAnsi="Times New Roman" w:cs="Times New Roman"/>
          <w:sz w:val="24"/>
          <w:szCs w:val="24"/>
        </w:rPr>
        <w:t>results and</w:t>
      </w:r>
      <w:r>
        <w:rPr>
          <w:rFonts w:ascii="Times New Roman" w:eastAsia="Times New Roman" w:hAnsi="Times New Roman" w:cs="Times New Roman"/>
          <w:sz w:val="24"/>
          <w:szCs w:val="24"/>
        </w:rPr>
        <w:t xml:space="preserve"> made it easier to share the input/output files among the group members.</w:t>
      </w:r>
    </w:p>
    <w:p w:rsidR="007825A7" w:rsidRDefault="001D1314">
      <w:pPr>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Future direction of these experiments can include the biological relevance in amino acid (aa) changes observed in genomic structure. The three kinds of aa indel</w:t>
      </w:r>
      <w:r>
        <w:rPr>
          <w:rFonts w:ascii="Times New Roman" w:eastAsia="Times New Roman" w:hAnsi="Times New Roman" w:cs="Times New Roman"/>
          <w:sz w:val="24"/>
          <w:szCs w:val="24"/>
        </w:rPr>
        <w:t xml:space="preserve">s discovered with the highest frequency </w:t>
      </w:r>
      <w:r w:rsidR="00F452C7">
        <w:rPr>
          <w:rFonts w:ascii="Times New Roman" w:eastAsia="Times New Roman" w:hAnsi="Times New Roman" w:cs="Times New Roman"/>
          <w:sz w:val="24"/>
          <w:szCs w:val="24"/>
        </w:rPr>
        <w:t>were histidine</w:t>
      </w:r>
      <w:r>
        <w:rPr>
          <w:rFonts w:ascii="Times New Roman" w:eastAsia="Times New Roman" w:hAnsi="Times New Roman" w:cs="Times New Roman"/>
          <w:sz w:val="24"/>
          <w:szCs w:val="24"/>
        </w:rPr>
        <w:t xml:space="preserve"> (n=12), followed by leucine (8) and serine (n=7). Future detailed analysis considering the region of the genome may determine if these could be regions responsible for the differential virulence linea</w:t>
      </w:r>
      <w:r>
        <w:rPr>
          <w:rFonts w:ascii="Times New Roman" w:eastAsia="Times New Roman" w:hAnsi="Times New Roman" w:cs="Times New Roman"/>
          <w:sz w:val="24"/>
          <w:szCs w:val="24"/>
        </w:rPr>
        <w:t xml:space="preserve">ge of the two compared genomes. In our case, the deletions in CDS region may be the most relevant, as those may lead to discovery of proteins involved in bacterial adherence to host and virulence. Overall, the maximum depth set at the default parameter of </w:t>
      </w:r>
      <w:r>
        <w:rPr>
          <w:rFonts w:ascii="Times New Roman" w:eastAsia="Times New Roman" w:hAnsi="Times New Roman" w:cs="Times New Roman"/>
          <w:sz w:val="24"/>
          <w:szCs w:val="24"/>
        </w:rPr>
        <w:t>250 resulted in the greatest number of variants called. A total of 446 indels were called after the variants were sorted by p-value with a strict cutoff at p-value 0.01. Keeping the cut-off point at 0.01, variants with QS less than 20 were excluded. In add</w:t>
      </w:r>
      <w:r>
        <w:rPr>
          <w:rFonts w:ascii="Times New Roman" w:eastAsia="Times New Roman" w:hAnsi="Times New Roman" w:cs="Times New Roman"/>
          <w:sz w:val="24"/>
          <w:szCs w:val="24"/>
        </w:rPr>
        <w:t xml:space="preserve">ition, we have learned the important steps necessary to implement variant calling when comparing genomic variations in genomic structures between lineage I and lineage II strains of </w:t>
      </w:r>
      <w:r>
        <w:rPr>
          <w:rFonts w:ascii="Times New Roman" w:eastAsia="Times New Roman" w:hAnsi="Times New Roman" w:cs="Times New Roman"/>
          <w:i/>
          <w:sz w:val="24"/>
          <w:szCs w:val="24"/>
        </w:rPr>
        <w:t>LM</w:t>
      </w:r>
      <w:r>
        <w:rPr>
          <w:rFonts w:ascii="Times New Roman" w:eastAsia="Times New Roman" w:hAnsi="Times New Roman" w:cs="Times New Roman"/>
          <w:sz w:val="24"/>
          <w:szCs w:val="24"/>
        </w:rPr>
        <w:t xml:space="preserve">. </w:t>
      </w:r>
    </w:p>
    <w:p w:rsidR="007825A7" w:rsidRDefault="007825A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pPr>
        <w:spacing w:line="240" w:lineRule="auto"/>
        <w:ind w:firstLine="720"/>
        <w:jc w:val="both"/>
        <w:rPr>
          <w:rFonts w:ascii="Times New Roman" w:eastAsia="Times New Roman" w:hAnsi="Times New Roman" w:cs="Times New Roman"/>
          <w:sz w:val="24"/>
          <w:szCs w:val="24"/>
        </w:rPr>
      </w:pPr>
    </w:p>
    <w:p w:rsidR="00F452C7" w:rsidRDefault="00F452C7" w:rsidP="00F452C7">
      <w:pPr>
        <w:spacing w:line="240" w:lineRule="auto"/>
        <w:jc w:val="both"/>
        <w:rPr>
          <w:rFonts w:ascii="Times New Roman" w:eastAsia="Times New Roman" w:hAnsi="Times New Roman" w:cs="Times New Roman"/>
          <w:sz w:val="24"/>
          <w:szCs w:val="24"/>
        </w:rPr>
      </w:pPr>
    </w:p>
    <w:p w:rsidR="007825A7" w:rsidRDefault="001D1314" w:rsidP="00F452C7">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PIPELINE CODE</w:t>
      </w:r>
    </w:p>
    <w:p w:rsidR="007825A7" w:rsidRDefault="001D1314">
      <w:pPr>
        <w:spacing w:line="240" w:lineRule="auto"/>
        <w:jc w:val="center"/>
        <w:rPr>
          <w:rFonts w:ascii="Times New Roman" w:eastAsia="Times New Roman" w:hAnsi="Times New Roman" w:cs="Times New Roman"/>
          <w:sz w:val="24"/>
          <w:szCs w:val="24"/>
        </w:rPr>
      </w:pPr>
      <w:bookmarkStart w:id="1" w:name="_GoBack"/>
      <w:r>
        <w:rPr>
          <w:rFonts w:ascii="Times New Roman" w:eastAsia="Times New Roman" w:hAnsi="Times New Roman" w:cs="Times New Roman"/>
          <w:noProof/>
          <w:sz w:val="24"/>
          <w:szCs w:val="24"/>
        </w:rPr>
        <w:drawing>
          <wp:inline distT="0" distB="0" distL="0" distR="0">
            <wp:extent cx="2793927" cy="36528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2793927" cy="3652838"/>
                    </a:xfrm>
                    <a:prstGeom prst="rect">
                      <a:avLst/>
                    </a:prstGeom>
                    <a:ln/>
                  </pic:spPr>
                </pic:pic>
              </a:graphicData>
            </a:graphic>
          </wp:inline>
        </w:drawing>
      </w:r>
      <w:bookmarkEnd w:id="1"/>
    </w:p>
    <w:p w:rsidR="007825A7" w:rsidRPr="00F452C7" w:rsidRDefault="007825A7">
      <w:pPr>
        <w:spacing w:line="240" w:lineRule="auto"/>
        <w:jc w:val="center"/>
        <w:rPr>
          <w:rFonts w:ascii="Times New Roman" w:eastAsia="Times New Roman" w:hAnsi="Times New Roman" w:cs="Times New Roman"/>
          <w:sz w:val="21"/>
          <w:szCs w:val="21"/>
        </w:rPr>
      </w:pPr>
    </w:p>
    <w:p w:rsidR="007825A7" w:rsidRPr="00F452C7" w:rsidRDefault="001D1314">
      <w:pPr>
        <w:shd w:val="clear" w:color="auto" w:fill="FFFFFF"/>
        <w:spacing w:line="240" w:lineRule="auto"/>
        <w:jc w:val="center"/>
        <w:rPr>
          <w:rFonts w:ascii="Times New Roman" w:eastAsia="Times New Roman" w:hAnsi="Times New Roman" w:cs="Times New Roman"/>
          <w:sz w:val="21"/>
          <w:szCs w:val="21"/>
        </w:rPr>
      </w:pPr>
      <w:r w:rsidRPr="00F452C7">
        <w:rPr>
          <w:rFonts w:ascii="Times New Roman" w:eastAsia="Times New Roman" w:hAnsi="Times New Roman" w:cs="Times New Roman"/>
          <w:b/>
          <w:sz w:val="21"/>
          <w:szCs w:val="21"/>
        </w:rPr>
        <w:t xml:space="preserve">Figure 3. </w:t>
      </w:r>
      <w:r w:rsidRPr="00F452C7">
        <w:rPr>
          <w:rFonts w:ascii="Times New Roman" w:eastAsia="Times New Roman" w:hAnsi="Times New Roman" w:cs="Times New Roman"/>
          <w:sz w:val="21"/>
          <w:szCs w:val="21"/>
        </w:rPr>
        <w:t>An overview of the protocol for detection of genomic variance</w:t>
      </w:r>
      <w:r w:rsidR="00F452C7">
        <w:rPr>
          <w:rFonts w:ascii="Times New Roman" w:eastAsia="Times New Roman" w:hAnsi="Times New Roman" w:cs="Times New Roman"/>
          <w:sz w:val="21"/>
          <w:szCs w:val="21"/>
        </w:rPr>
        <w:t>.</w:t>
      </w:r>
    </w:p>
    <w:p w:rsidR="00F452C7" w:rsidRDefault="00F452C7">
      <w:pPr>
        <w:shd w:val="clear" w:color="auto" w:fill="FFFFFF"/>
        <w:spacing w:line="240" w:lineRule="auto"/>
        <w:jc w:val="center"/>
        <w:rPr>
          <w:rFonts w:ascii="Times New Roman" w:eastAsia="Times New Roman" w:hAnsi="Times New Roman" w:cs="Times New Roman"/>
          <w:sz w:val="24"/>
          <w:szCs w:val="24"/>
        </w:rPr>
      </w:pPr>
    </w:p>
    <w:p w:rsidR="007825A7" w:rsidRDefault="001D1314">
      <w:pPr>
        <w:spacing w:line="240" w:lineRule="auto"/>
        <w:jc w:val="both"/>
        <w:rPr>
          <w:rFonts w:ascii="Times New Roman" w:eastAsia="Times New Roman" w:hAnsi="Times New Roman" w:cs="Times New Roman"/>
          <w:b/>
          <w:i/>
          <w:sz w:val="24"/>
          <w:szCs w:val="24"/>
        </w:rPr>
      </w:pPr>
      <w:proofErr w:type="spellStart"/>
      <w:r>
        <w:rPr>
          <w:rFonts w:ascii="Times New Roman" w:eastAsia="Times New Roman" w:hAnsi="Times New Roman" w:cs="Times New Roman"/>
          <w:b/>
          <w:i/>
          <w:sz w:val="24"/>
          <w:szCs w:val="24"/>
        </w:rPr>
        <w:t>Fastqc</w:t>
      </w:r>
      <w:proofErr w:type="spellEnd"/>
    </w:p>
    <w:p w:rsidR="007825A7" w:rsidRDefault="007825A7">
      <w:pPr>
        <w:spacing w:line="240" w:lineRule="auto"/>
        <w:jc w:val="both"/>
        <w:rPr>
          <w:rFonts w:ascii="Times New Roman" w:eastAsia="Times New Roman" w:hAnsi="Times New Roman" w:cs="Times New Roman"/>
          <w:sz w:val="24"/>
          <w:szCs w:val="24"/>
        </w:rPr>
      </w:pPr>
    </w:p>
    <w:p w:rsidR="007825A7" w:rsidRDefault="001D1314">
      <w:pPr>
        <w:spacing w:line="24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sz w:val="24"/>
          <w:szCs w:val="24"/>
        </w:rPr>
        <w:t>fastq</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ListII</w:t>
      </w:r>
      <w:proofErr w:type="gramEnd"/>
      <w:r>
        <w:rPr>
          <w:rFonts w:ascii="Times New Roman" w:eastAsia="Times New Roman" w:hAnsi="Times New Roman" w:cs="Times New Roman"/>
          <w:sz w:val="24"/>
          <w:szCs w:val="24"/>
        </w:rPr>
        <w:t>_R1.fastq ListII_R2.fastq</w:t>
      </w:r>
    </w:p>
    <w:p w:rsidR="007825A7" w:rsidRDefault="001D13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fastqc</w:t>
      </w:r>
      <w:proofErr w:type="spellEnd"/>
      <w:r>
        <w:rPr>
          <w:rFonts w:ascii="Times New Roman" w:eastAsia="Times New Roman" w:hAnsi="Times New Roman" w:cs="Times New Roman"/>
          <w:sz w:val="24"/>
          <w:szCs w:val="24"/>
        </w:rPr>
        <w:t xml:space="preserve"> was utilized to address the quality of the raw paired end dataset selected</w:t>
      </w:r>
    </w:p>
    <w:p w:rsidR="007825A7" w:rsidRDefault="007825A7">
      <w:pPr>
        <w:spacing w:line="240" w:lineRule="auto"/>
        <w:jc w:val="both"/>
        <w:rPr>
          <w:rFonts w:ascii="Times New Roman" w:eastAsia="Times New Roman" w:hAnsi="Times New Roman" w:cs="Times New Roman"/>
          <w:sz w:val="24"/>
          <w:szCs w:val="24"/>
        </w:rPr>
      </w:pPr>
    </w:p>
    <w:p w:rsidR="007825A7" w:rsidRDefault="001D1314">
      <w:pPr>
        <w:spacing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Trimmomatic</w:t>
      </w:r>
    </w:p>
    <w:p w:rsidR="007825A7" w:rsidRDefault="007825A7">
      <w:pPr>
        <w:spacing w:line="240" w:lineRule="auto"/>
        <w:jc w:val="both"/>
        <w:rPr>
          <w:rFonts w:ascii="Times New Roman" w:eastAsia="Times New Roman" w:hAnsi="Times New Roman" w:cs="Times New Roman"/>
          <w:sz w:val="24"/>
          <w:szCs w:val="24"/>
        </w:rPr>
      </w:pPr>
    </w:p>
    <w:p w:rsidR="007825A7" w:rsidRDefault="001D1314">
      <w:pPr>
        <w:spacing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trimmomatic</w:t>
      </w:r>
      <w:proofErr w:type="spellEnd"/>
      <w:r>
        <w:rPr>
          <w:rFonts w:ascii="Times New Roman" w:eastAsia="Times New Roman" w:hAnsi="Times New Roman" w:cs="Times New Roman"/>
          <w:sz w:val="24"/>
          <w:szCs w:val="24"/>
          <w:highlight w:val="white"/>
        </w:rPr>
        <w:t xml:space="preserve"> PE -threads 6 ListII_R</w:t>
      </w:r>
      <w:proofErr w:type="gramStart"/>
      <w:r>
        <w:rPr>
          <w:rFonts w:ascii="Times New Roman" w:eastAsia="Times New Roman" w:hAnsi="Times New Roman" w:cs="Times New Roman"/>
          <w:sz w:val="24"/>
          <w:szCs w:val="24"/>
          <w:highlight w:val="white"/>
        </w:rPr>
        <w:t>1.fastq</w:t>
      </w:r>
      <w:proofErr w:type="gramEnd"/>
      <w:r>
        <w:rPr>
          <w:rFonts w:ascii="Times New Roman" w:eastAsia="Times New Roman" w:hAnsi="Times New Roman" w:cs="Times New Roman"/>
          <w:sz w:val="24"/>
          <w:szCs w:val="24"/>
          <w:highlight w:val="white"/>
        </w:rPr>
        <w:t xml:space="preserve"> ListII_R2.fastq -</w:t>
      </w:r>
      <w:proofErr w:type="spellStart"/>
      <w:r>
        <w:rPr>
          <w:rFonts w:ascii="Times New Roman" w:eastAsia="Times New Roman" w:hAnsi="Times New Roman" w:cs="Times New Roman"/>
          <w:sz w:val="24"/>
          <w:szCs w:val="24"/>
          <w:highlight w:val="white"/>
        </w:rPr>
        <w:t>baseout</w:t>
      </w:r>
      <w:proofErr w:type="spellEnd"/>
      <w:r>
        <w:rPr>
          <w:rFonts w:ascii="Times New Roman" w:eastAsia="Times New Roman" w:hAnsi="Times New Roman" w:cs="Times New Roman"/>
          <w:sz w:val="24"/>
          <w:szCs w:val="24"/>
          <w:highlight w:val="white"/>
        </w:rPr>
        <w:t xml:space="preserve"> ListII_crop100.fastq CROP:100</w:t>
      </w:r>
    </w:p>
    <w:p w:rsidR="007825A7" w:rsidRDefault="001D13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paired end reads were cropped to 100 bp by trimming the 3’ end of the reads</w:t>
      </w:r>
    </w:p>
    <w:p w:rsidR="007825A7" w:rsidRDefault="001D1314">
      <w:pPr>
        <w:spacing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fastqc</w:t>
      </w:r>
      <w:proofErr w:type="spellEnd"/>
      <w:r>
        <w:rPr>
          <w:rFonts w:ascii="Times New Roman" w:eastAsia="Times New Roman" w:hAnsi="Times New Roman" w:cs="Times New Roman"/>
          <w:sz w:val="24"/>
          <w:szCs w:val="24"/>
          <w:highlight w:val="white"/>
        </w:rPr>
        <w:t xml:space="preserve"> ListII_crop100_1</w:t>
      </w:r>
      <w:proofErr w:type="gramStart"/>
      <w:r>
        <w:rPr>
          <w:rFonts w:ascii="Times New Roman" w:eastAsia="Times New Roman" w:hAnsi="Times New Roman" w:cs="Times New Roman"/>
          <w:sz w:val="24"/>
          <w:szCs w:val="24"/>
          <w:highlight w:val="white"/>
        </w:rPr>
        <w:t>P.fastq</w:t>
      </w:r>
      <w:proofErr w:type="gramEnd"/>
      <w:r>
        <w:rPr>
          <w:rFonts w:ascii="Times New Roman" w:eastAsia="Times New Roman" w:hAnsi="Times New Roman" w:cs="Times New Roman"/>
          <w:sz w:val="24"/>
          <w:szCs w:val="24"/>
          <w:highlight w:val="white"/>
        </w:rPr>
        <w:t xml:space="preserve"> ListII_crop100_2P.fastq</w:t>
      </w:r>
    </w:p>
    <w:p w:rsidR="007825A7" w:rsidRDefault="001D13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quality was assessed again by</w:t>
      </w:r>
      <w:r>
        <w:rPr>
          <w:rFonts w:ascii="Times New Roman" w:eastAsia="Times New Roman" w:hAnsi="Times New Roman" w:cs="Times New Roman"/>
          <w:sz w:val="24"/>
          <w:szCs w:val="24"/>
          <w:highlight w:val="white"/>
        </w:rPr>
        <w:t xml:space="preserve"> using </w:t>
      </w:r>
      <w:proofErr w:type="spellStart"/>
      <w:r>
        <w:rPr>
          <w:rFonts w:ascii="Times New Roman" w:eastAsia="Times New Roman" w:hAnsi="Times New Roman" w:cs="Times New Roman"/>
          <w:sz w:val="24"/>
          <w:szCs w:val="24"/>
          <w:highlight w:val="white"/>
        </w:rPr>
        <w:t>fastqc</w:t>
      </w:r>
      <w:proofErr w:type="spellEnd"/>
    </w:p>
    <w:p w:rsidR="007825A7" w:rsidRDefault="001D1314">
      <w:pPr>
        <w:spacing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trimmomatic</w:t>
      </w:r>
      <w:proofErr w:type="spellEnd"/>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PE -threads 6 ListII_crop100_1</w:t>
      </w:r>
      <w:proofErr w:type="gramStart"/>
      <w:r>
        <w:rPr>
          <w:rFonts w:ascii="Times New Roman" w:eastAsia="Times New Roman" w:hAnsi="Times New Roman" w:cs="Times New Roman"/>
          <w:sz w:val="24"/>
          <w:szCs w:val="24"/>
          <w:highlight w:val="white"/>
        </w:rPr>
        <w:t>P.fastq</w:t>
      </w:r>
      <w:proofErr w:type="gramEnd"/>
      <w:r>
        <w:rPr>
          <w:rFonts w:ascii="Times New Roman" w:eastAsia="Times New Roman" w:hAnsi="Times New Roman" w:cs="Times New Roman"/>
          <w:sz w:val="24"/>
          <w:szCs w:val="24"/>
          <w:highlight w:val="white"/>
        </w:rPr>
        <w:t xml:space="preserve"> ListII_crop100_2P.fastq -</w:t>
      </w:r>
      <w:proofErr w:type="spellStart"/>
      <w:r>
        <w:rPr>
          <w:rFonts w:ascii="Times New Roman" w:eastAsia="Times New Roman" w:hAnsi="Times New Roman" w:cs="Times New Roman"/>
          <w:sz w:val="24"/>
          <w:szCs w:val="24"/>
          <w:highlight w:val="white"/>
        </w:rPr>
        <w:t>baseout</w:t>
      </w:r>
      <w:proofErr w:type="spellEnd"/>
      <w:r>
        <w:rPr>
          <w:rFonts w:ascii="Times New Roman" w:eastAsia="Times New Roman" w:hAnsi="Times New Roman" w:cs="Times New Roman"/>
          <w:sz w:val="24"/>
          <w:szCs w:val="24"/>
          <w:highlight w:val="white"/>
        </w:rPr>
        <w:t xml:space="preserve"> ListII_crop100_minlen100 </w:t>
      </w:r>
      <w:proofErr w:type="spellStart"/>
      <w:r>
        <w:rPr>
          <w:rFonts w:ascii="Times New Roman" w:eastAsia="Times New Roman" w:hAnsi="Times New Roman" w:cs="Times New Roman"/>
          <w:sz w:val="24"/>
          <w:szCs w:val="24"/>
          <w:highlight w:val="white"/>
        </w:rPr>
        <w:t>fastq</w:t>
      </w:r>
      <w:proofErr w:type="spellEnd"/>
      <w:r>
        <w:rPr>
          <w:rFonts w:ascii="Times New Roman" w:eastAsia="Times New Roman" w:hAnsi="Times New Roman" w:cs="Times New Roman"/>
          <w:sz w:val="24"/>
          <w:szCs w:val="24"/>
          <w:highlight w:val="white"/>
        </w:rPr>
        <w:t xml:space="preserve"> MINLEN:100</w:t>
      </w:r>
    </w:p>
    <w:p w:rsidR="007825A7" w:rsidRDefault="001D13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#reads less than 100 bp were excluded from the dataset </w:t>
      </w:r>
    </w:p>
    <w:p w:rsidR="007825A7" w:rsidRDefault="001D1314">
      <w:pPr>
        <w:spacing w:line="240" w:lineRule="auto"/>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b/>
          <w:sz w:val="24"/>
          <w:szCs w:val="24"/>
          <w:highlight w:val="white"/>
        </w:rPr>
        <w:t>fastqc</w:t>
      </w:r>
      <w:proofErr w:type="spellEnd"/>
      <w:r>
        <w:rPr>
          <w:rFonts w:ascii="Times New Roman" w:eastAsia="Times New Roman" w:hAnsi="Times New Roman" w:cs="Times New Roman"/>
          <w:sz w:val="24"/>
          <w:szCs w:val="24"/>
          <w:highlight w:val="white"/>
        </w:rPr>
        <w:t xml:space="preserve"> ListII_crop100_minlen100_1</w:t>
      </w:r>
      <w:proofErr w:type="gramStart"/>
      <w:r>
        <w:rPr>
          <w:rFonts w:ascii="Times New Roman" w:eastAsia="Times New Roman" w:hAnsi="Times New Roman" w:cs="Times New Roman"/>
          <w:sz w:val="24"/>
          <w:szCs w:val="24"/>
          <w:highlight w:val="white"/>
        </w:rPr>
        <w:t>P.fastq</w:t>
      </w:r>
      <w:proofErr w:type="gramEnd"/>
      <w:r>
        <w:rPr>
          <w:rFonts w:ascii="Times New Roman" w:eastAsia="Times New Roman" w:hAnsi="Times New Roman" w:cs="Times New Roman"/>
          <w:sz w:val="24"/>
          <w:szCs w:val="24"/>
          <w:highlight w:val="white"/>
        </w:rPr>
        <w:t xml:space="preserve"> ListII_crop100_minle</w:t>
      </w:r>
      <w:r>
        <w:rPr>
          <w:rFonts w:ascii="Times New Roman" w:eastAsia="Times New Roman" w:hAnsi="Times New Roman" w:cs="Times New Roman"/>
          <w:sz w:val="24"/>
          <w:szCs w:val="24"/>
          <w:highlight w:val="white"/>
        </w:rPr>
        <w:t xml:space="preserve">n100_2P.fastq </w:t>
      </w:r>
    </w:p>
    <w:p w:rsidR="007825A7" w:rsidRDefault="001D1314">
      <w:pPr>
        <w:spacing w:line="24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quality was assessed again by using </w:t>
      </w:r>
      <w:proofErr w:type="spellStart"/>
      <w:r>
        <w:rPr>
          <w:rFonts w:ascii="Times New Roman" w:eastAsia="Times New Roman" w:hAnsi="Times New Roman" w:cs="Times New Roman"/>
          <w:sz w:val="24"/>
          <w:szCs w:val="24"/>
          <w:highlight w:val="white"/>
        </w:rPr>
        <w:t>fastqc</w:t>
      </w:r>
      <w:proofErr w:type="spellEnd"/>
    </w:p>
    <w:p w:rsidR="007825A7" w:rsidRDefault="007825A7">
      <w:pPr>
        <w:spacing w:line="240" w:lineRule="auto"/>
        <w:jc w:val="both"/>
        <w:rPr>
          <w:rFonts w:ascii="Times New Roman" w:eastAsia="Times New Roman" w:hAnsi="Times New Roman" w:cs="Times New Roman"/>
          <w:b/>
          <w:sz w:val="24"/>
          <w:szCs w:val="24"/>
        </w:rPr>
      </w:pPr>
    </w:p>
    <w:p w:rsidR="007825A7" w:rsidRDefault="001D1314">
      <w:pPr>
        <w:spacing w:line="240" w:lineRule="auto"/>
        <w:jc w:val="both"/>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BWA, </w:t>
      </w:r>
      <w:proofErr w:type="spellStart"/>
      <w:r>
        <w:rPr>
          <w:rFonts w:ascii="Times New Roman" w:eastAsia="Times New Roman" w:hAnsi="Times New Roman" w:cs="Times New Roman"/>
          <w:b/>
          <w:i/>
          <w:sz w:val="24"/>
          <w:szCs w:val="24"/>
        </w:rPr>
        <w:t>Samtools</w:t>
      </w:r>
      <w:proofErr w:type="spellEnd"/>
      <w:r>
        <w:rPr>
          <w:rFonts w:ascii="Times New Roman" w:eastAsia="Times New Roman" w:hAnsi="Times New Roman" w:cs="Times New Roman"/>
          <w:b/>
          <w:i/>
          <w:sz w:val="24"/>
          <w:szCs w:val="24"/>
        </w:rPr>
        <w:t>, and generation of variant summary table</w:t>
      </w:r>
    </w:p>
    <w:p w:rsidR="007825A7" w:rsidRDefault="007825A7">
      <w:pPr>
        <w:spacing w:line="240" w:lineRule="auto"/>
        <w:jc w:val="both"/>
        <w:rPr>
          <w:rFonts w:ascii="Times New Roman" w:eastAsia="Times New Roman" w:hAnsi="Times New Roman" w:cs="Times New Roman"/>
          <w:i/>
          <w:sz w:val="24"/>
          <w:szCs w:val="24"/>
        </w:rPr>
      </w:pP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bwa index</w:t>
      </w:r>
      <w:r>
        <w:rPr>
          <w:rFonts w:ascii="Times New Roman" w:eastAsia="Times New Roman" w:hAnsi="Times New Roman" w:cs="Times New Roman"/>
          <w:sz w:val="24"/>
          <w:szCs w:val="24"/>
        </w:rPr>
        <w:t xml:space="preserve"> LM_L1_JF5861_ref.fna</w:t>
      </w: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index command of BWA was utilized to index the reference genome. First, the index of the reference g</w:t>
      </w:r>
      <w:r>
        <w:rPr>
          <w:rFonts w:ascii="Times New Roman" w:eastAsia="Times New Roman" w:hAnsi="Times New Roman" w:cs="Times New Roman"/>
          <w:sz w:val="24"/>
          <w:szCs w:val="24"/>
        </w:rPr>
        <w:t xml:space="preserve">enome was created by utilizing the index command of BWA. </w:t>
      </w:r>
    </w:p>
    <w:p w:rsidR="007825A7" w:rsidRDefault="007825A7">
      <w:pPr>
        <w:spacing w:line="240" w:lineRule="auto"/>
        <w:rPr>
          <w:rFonts w:ascii="Times New Roman" w:eastAsia="Times New Roman" w:hAnsi="Times New Roman" w:cs="Times New Roman"/>
          <w:sz w:val="24"/>
          <w:szCs w:val="24"/>
        </w:rPr>
      </w:pP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bwa mem </w:t>
      </w:r>
      <w:r>
        <w:rPr>
          <w:rFonts w:ascii="Times New Roman" w:eastAsia="Times New Roman" w:hAnsi="Times New Roman" w:cs="Times New Roman"/>
          <w:sz w:val="24"/>
          <w:szCs w:val="24"/>
        </w:rPr>
        <w:t>-t 12 -c 50000 -P -B 3 LM_L1_JF5861_ref.fna ListII_crop100_minlen100_1</w:t>
      </w:r>
      <w:proofErr w:type="gramStart"/>
      <w:r>
        <w:rPr>
          <w:rFonts w:ascii="Times New Roman" w:eastAsia="Times New Roman" w:hAnsi="Times New Roman" w:cs="Times New Roman"/>
          <w:sz w:val="24"/>
          <w:szCs w:val="24"/>
        </w:rPr>
        <w:t>P.fastq</w:t>
      </w:r>
      <w:proofErr w:type="gramEnd"/>
      <w:r>
        <w:rPr>
          <w:rFonts w:ascii="Times New Roman" w:eastAsia="Times New Roman" w:hAnsi="Times New Roman" w:cs="Times New Roman"/>
          <w:sz w:val="24"/>
          <w:szCs w:val="24"/>
        </w:rPr>
        <w:t xml:space="preserve"> ListII_crop100_minlen100_2P.fastq &gt; LM_L2_trim100.sam</w:t>
      </w: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MEM mapping algorithm of BWA was used and the covera</w:t>
      </w:r>
      <w:r>
        <w:rPr>
          <w:rFonts w:ascii="Times New Roman" w:eastAsia="Times New Roman" w:hAnsi="Times New Roman" w:cs="Times New Roman"/>
          <w:sz w:val="24"/>
          <w:szCs w:val="24"/>
        </w:rPr>
        <w:t>ge (-c) cutoff was set at 50000. Additionally, the data was flagged as being paired end (-P) and the mismatch penalty (-B) was set to 3. This generated a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file.</w:t>
      </w:r>
    </w:p>
    <w:p w:rsidR="007825A7" w:rsidRDefault="007825A7">
      <w:pPr>
        <w:spacing w:line="240" w:lineRule="auto"/>
        <w:jc w:val="both"/>
        <w:rPr>
          <w:rFonts w:ascii="Times New Roman" w:eastAsia="Times New Roman" w:hAnsi="Times New Roman" w:cs="Times New Roman"/>
          <w:sz w:val="24"/>
          <w:szCs w:val="24"/>
        </w:rPr>
      </w:pPr>
    </w:p>
    <w:p w:rsidR="007825A7" w:rsidRDefault="001D1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samtools</w:t>
      </w:r>
      <w:proofErr w:type="spellEnd"/>
      <w:r>
        <w:rPr>
          <w:rFonts w:ascii="Times New Roman" w:eastAsia="Times New Roman" w:hAnsi="Times New Roman" w:cs="Times New Roman"/>
          <w:b/>
          <w:sz w:val="24"/>
          <w:szCs w:val="24"/>
        </w:rPr>
        <w:t xml:space="preserve"> view</w:t>
      </w:r>
      <w:r>
        <w:rPr>
          <w:rFonts w:ascii="Times New Roman" w:eastAsia="Times New Roman" w:hAnsi="Times New Roman" w:cs="Times New Roman"/>
          <w:sz w:val="24"/>
          <w:szCs w:val="24"/>
        </w:rPr>
        <w:t xml:space="preserve"> -Sb -o LM_L2_trim100.bam LM_L2_trim100.sam</w:t>
      </w: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generated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file was converted to a .bam file.</w:t>
      </w:r>
    </w:p>
    <w:p w:rsidR="007825A7" w:rsidRDefault="007825A7">
      <w:pPr>
        <w:spacing w:line="240" w:lineRule="auto"/>
        <w:rPr>
          <w:rFonts w:ascii="Times New Roman" w:eastAsia="Times New Roman" w:hAnsi="Times New Roman" w:cs="Times New Roman"/>
          <w:sz w:val="24"/>
          <w:szCs w:val="24"/>
        </w:rPr>
      </w:pPr>
    </w:p>
    <w:p w:rsidR="007825A7" w:rsidRDefault="001D1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samtools</w:t>
      </w:r>
      <w:proofErr w:type="spellEnd"/>
      <w:r>
        <w:rPr>
          <w:rFonts w:ascii="Times New Roman" w:eastAsia="Times New Roman" w:hAnsi="Times New Roman" w:cs="Times New Roman"/>
          <w:b/>
          <w:sz w:val="24"/>
          <w:szCs w:val="24"/>
        </w:rPr>
        <w:t xml:space="preserve"> sort </w:t>
      </w:r>
      <w:r>
        <w:rPr>
          <w:rFonts w:ascii="Times New Roman" w:eastAsia="Times New Roman" w:hAnsi="Times New Roman" w:cs="Times New Roman"/>
          <w:sz w:val="24"/>
          <w:szCs w:val="24"/>
        </w:rPr>
        <w:t>LM_L2_trim100.bam LM_L2_trim100.sorted</w:t>
      </w: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sam</w:t>
      </w:r>
      <w:proofErr w:type="spellEnd"/>
      <w:r>
        <w:rPr>
          <w:rFonts w:ascii="Times New Roman" w:eastAsia="Times New Roman" w:hAnsi="Times New Roman" w:cs="Times New Roman"/>
          <w:sz w:val="24"/>
          <w:szCs w:val="24"/>
        </w:rPr>
        <w:t xml:space="preserve"> file was converted to an ordered bam file which is the required input for calling variants. </w:t>
      </w:r>
    </w:p>
    <w:p w:rsidR="007825A7" w:rsidRDefault="001D1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samtools</w:t>
      </w:r>
      <w:proofErr w:type="spellEnd"/>
      <w:r>
        <w:rPr>
          <w:rFonts w:ascii="Times New Roman" w:eastAsia="Times New Roman" w:hAnsi="Times New Roman" w:cs="Times New Roman"/>
          <w:b/>
          <w:sz w:val="24"/>
          <w:szCs w:val="24"/>
        </w:rPr>
        <w:t xml:space="preserve"> index</w:t>
      </w:r>
      <w:r>
        <w:rPr>
          <w:rFonts w:ascii="Times New Roman" w:eastAsia="Times New Roman" w:hAnsi="Times New Roman" w:cs="Times New Roman"/>
          <w:sz w:val="24"/>
          <w:szCs w:val="24"/>
        </w:rPr>
        <w:t xml:space="preserve"> LM_L2_trim100.sorted.bam LM_L2_trim100.sorted.bai</w:t>
      </w: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sorted bam file had to be indexed by creating the binary index.</w:t>
      </w:r>
    </w:p>
    <w:p w:rsidR="007825A7" w:rsidRDefault="007825A7">
      <w:pPr>
        <w:spacing w:line="240" w:lineRule="auto"/>
        <w:rPr>
          <w:rFonts w:ascii="Times New Roman" w:eastAsia="Times New Roman" w:hAnsi="Times New Roman" w:cs="Times New Roman"/>
          <w:sz w:val="24"/>
          <w:szCs w:val="24"/>
        </w:rPr>
      </w:pPr>
    </w:p>
    <w:p w:rsidR="007825A7" w:rsidRDefault="001D1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bcftools</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mpileup</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threads 12 -6 -A -d 250 -f LM_L1_JF5861_ref.fna LM_L2_trim100.sorted.bam -O b -o LM_L2_trim100.bcf </w:t>
      </w:r>
    </w:p>
    <w:p w:rsidR="007825A7" w:rsidRDefault="001D131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#Variant calling was executed in two steps with the first being the </w:t>
      </w:r>
      <w:proofErr w:type="spellStart"/>
      <w:r>
        <w:rPr>
          <w:rFonts w:ascii="Times New Roman" w:eastAsia="Times New Roman" w:hAnsi="Times New Roman" w:cs="Times New Roman"/>
          <w:sz w:val="24"/>
          <w:szCs w:val="24"/>
        </w:rPr>
        <w:t>bcftools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mpileup</w:t>
      </w:r>
      <w:proofErr w:type="spellEnd"/>
      <w:r>
        <w:rPr>
          <w:rFonts w:ascii="Times New Roman" w:eastAsia="Times New Roman" w:hAnsi="Times New Roman" w:cs="Times New Roman"/>
          <w:sz w:val="24"/>
          <w:szCs w:val="24"/>
        </w:rPr>
        <w:t xml:space="preserve"> command which resulted in the creation of the binary file coding for ev</w:t>
      </w:r>
      <w:r>
        <w:rPr>
          <w:rFonts w:ascii="Times New Roman" w:eastAsia="Times New Roman" w:hAnsi="Times New Roman" w:cs="Times New Roman"/>
          <w:sz w:val="24"/>
          <w:szCs w:val="24"/>
        </w:rPr>
        <w:t>ery position in our reference genome. For this command, the maximal per sample read depth (-d) was modified as two variations of -d (250 and 10,000) were used for the trimmed data while the -d parameter for the untrimmed data was set at the default (250).</w:t>
      </w:r>
    </w:p>
    <w:p w:rsidR="007825A7" w:rsidRDefault="001D131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bcftools</w:t>
      </w:r>
      <w:proofErr w:type="spellEnd"/>
      <w:r>
        <w:rPr>
          <w:rFonts w:ascii="Times New Roman" w:eastAsia="Times New Roman" w:hAnsi="Times New Roman" w:cs="Times New Roman"/>
          <w:b/>
          <w:sz w:val="24"/>
          <w:szCs w:val="24"/>
        </w:rPr>
        <w:t xml:space="preserve"> call</w:t>
      </w:r>
      <w:r>
        <w:rPr>
          <w:rFonts w:ascii="Times New Roman" w:eastAsia="Times New Roman" w:hAnsi="Times New Roman" w:cs="Times New Roman"/>
          <w:sz w:val="24"/>
          <w:szCs w:val="24"/>
        </w:rPr>
        <w:t xml:space="preserve"> -o LM_L2_trim100.vcf -v --threads 12 -A -m LM_L2_trim100.bcf</w:t>
      </w: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w:t>
      </w:r>
      <w:proofErr w:type="spellStart"/>
      <w:r>
        <w:rPr>
          <w:rFonts w:ascii="Times New Roman" w:eastAsia="Times New Roman" w:hAnsi="Times New Roman" w:cs="Times New Roman"/>
          <w:sz w:val="24"/>
          <w:szCs w:val="24"/>
        </w:rPr>
        <w:t>bcftools</w:t>
      </w:r>
      <w:proofErr w:type="spellEnd"/>
      <w:r>
        <w:rPr>
          <w:rFonts w:ascii="Times New Roman" w:eastAsia="Times New Roman" w:hAnsi="Times New Roman" w:cs="Times New Roman"/>
          <w:sz w:val="24"/>
          <w:szCs w:val="24"/>
        </w:rPr>
        <w:t xml:space="preserve"> call command, variants were called. A .</w:t>
      </w:r>
      <w:proofErr w:type="spellStart"/>
      <w:r>
        <w:rPr>
          <w:rFonts w:ascii="Times New Roman" w:eastAsia="Times New Roman" w:hAnsi="Times New Roman" w:cs="Times New Roman"/>
          <w:sz w:val="24"/>
          <w:szCs w:val="24"/>
        </w:rPr>
        <w:t>vcf</w:t>
      </w:r>
      <w:proofErr w:type="spellEnd"/>
      <w:r>
        <w:rPr>
          <w:rFonts w:ascii="Times New Roman" w:eastAsia="Times New Roman" w:hAnsi="Times New Roman" w:cs="Times New Roman"/>
          <w:sz w:val="24"/>
          <w:szCs w:val="24"/>
        </w:rPr>
        <w:t xml:space="preserve"> file which contained only variants, due to the addition of the -v, was generated. </w:t>
      </w:r>
    </w:p>
    <w:p w:rsidR="007825A7" w:rsidRDefault="007825A7">
      <w:pPr>
        <w:spacing w:line="240" w:lineRule="auto"/>
        <w:rPr>
          <w:rFonts w:ascii="Times New Roman" w:eastAsia="Times New Roman" w:hAnsi="Times New Roman" w:cs="Times New Roman"/>
          <w:sz w:val="24"/>
          <w:szCs w:val="24"/>
        </w:rPr>
      </w:pP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./vcf2table.pl LM_L1_JF5861_ref.gf</w:t>
      </w:r>
      <w:r>
        <w:rPr>
          <w:rFonts w:ascii="Times New Roman" w:eastAsia="Times New Roman" w:hAnsi="Times New Roman" w:cs="Times New Roman"/>
          <w:sz w:val="24"/>
          <w:szCs w:val="24"/>
        </w:rPr>
        <w:t xml:space="preserve">f -g LM_L1_JF5861_ref.fna &lt; </w:t>
      </w:r>
      <w:proofErr w:type="gramStart"/>
      <w:r>
        <w:rPr>
          <w:rFonts w:ascii="Times New Roman" w:eastAsia="Times New Roman" w:hAnsi="Times New Roman" w:cs="Times New Roman"/>
          <w:sz w:val="24"/>
          <w:szCs w:val="24"/>
        </w:rPr>
        <w:t>LM_L2_trim100.vcf  &gt;</w:t>
      </w:r>
      <w:proofErr w:type="gramEnd"/>
      <w:r>
        <w:rPr>
          <w:rFonts w:ascii="Times New Roman" w:eastAsia="Times New Roman" w:hAnsi="Times New Roman" w:cs="Times New Roman"/>
          <w:sz w:val="24"/>
          <w:szCs w:val="24"/>
        </w:rPr>
        <w:t xml:space="preserve">  LM_L2_trim100.variant_table.txt</w:t>
      </w:r>
    </w:p>
    <w:p w:rsidR="007825A7" w:rsidRDefault="001D131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filtered </w:t>
      </w:r>
      <w:proofErr w:type="spellStart"/>
      <w:r>
        <w:rPr>
          <w:rFonts w:ascii="Times New Roman" w:eastAsia="Times New Roman" w:hAnsi="Times New Roman" w:cs="Times New Roman"/>
          <w:sz w:val="24"/>
          <w:szCs w:val="24"/>
        </w:rPr>
        <w:t>vcf</w:t>
      </w:r>
      <w:proofErr w:type="spellEnd"/>
      <w:r>
        <w:rPr>
          <w:rFonts w:ascii="Times New Roman" w:eastAsia="Times New Roman" w:hAnsi="Times New Roman" w:cs="Times New Roman"/>
          <w:sz w:val="24"/>
          <w:szCs w:val="24"/>
        </w:rPr>
        <w:t xml:space="preserve"> file was combined with the reference genome (</w:t>
      </w:r>
      <w:proofErr w:type="spellStart"/>
      <w:r>
        <w:rPr>
          <w:rFonts w:ascii="Times New Roman" w:eastAsia="Times New Roman" w:hAnsi="Times New Roman" w:cs="Times New Roman"/>
          <w:sz w:val="24"/>
          <w:szCs w:val="24"/>
        </w:rPr>
        <w:t>fna</w:t>
      </w:r>
      <w:proofErr w:type="spellEnd"/>
      <w:r>
        <w:rPr>
          <w:rFonts w:ascii="Times New Roman" w:eastAsia="Times New Roman" w:hAnsi="Times New Roman" w:cs="Times New Roman"/>
          <w:sz w:val="24"/>
          <w:szCs w:val="24"/>
        </w:rPr>
        <w:t>) and genomic feature (</w:t>
      </w:r>
      <w:proofErr w:type="spellStart"/>
      <w:r>
        <w:rPr>
          <w:rFonts w:ascii="Times New Roman" w:eastAsia="Times New Roman" w:hAnsi="Times New Roman" w:cs="Times New Roman"/>
          <w:sz w:val="24"/>
          <w:szCs w:val="24"/>
        </w:rPr>
        <w:t>gff</w:t>
      </w:r>
      <w:proofErr w:type="spellEnd"/>
      <w:r>
        <w:rPr>
          <w:rFonts w:ascii="Times New Roman" w:eastAsia="Times New Roman" w:hAnsi="Times New Roman" w:cs="Times New Roman"/>
          <w:sz w:val="24"/>
          <w:szCs w:val="24"/>
        </w:rPr>
        <w:t xml:space="preserve">) files to identify the biological context of the variants. </w:t>
      </w:r>
    </w:p>
    <w:p w:rsidR="007825A7" w:rsidRDefault="007825A7">
      <w:pPr>
        <w:spacing w:line="240" w:lineRule="auto"/>
        <w:rPr>
          <w:rFonts w:ascii="Times New Roman" w:eastAsia="Times New Roman" w:hAnsi="Times New Roman" w:cs="Times New Roman"/>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F452C7" w:rsidRDefault="00F452C7">
      <w:pPr>
        <w:spacing w:line="240" w:lineRule="auto"/>
        <w:jc w:val="both"/>
        <w:rPr>
          <w:rFonts w:ascii="Times New Roman" w:eastAsia="Times New Roman" w:hAnsi="Times New Roman" w:cs="Times New Roman"/>
          <w:b/>
          <w:sz w:val="24"/>
          <w:szCs w:val="24"/>
        </w:rPr>
      </w:pPr>
    </w:p>
    <w:p w:rsidR="007825A7" w:rsidRDefault="001D1314">
      <w:pPr>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rsidR="007825A7" w:rsidRDefault="007825A7">
      <w:pPr>
        <w:spacing w:line="240" w:lineRule="auto"/>
        <w:jc w:val="both"/>
        <w:rPr>
          <w:rFonts w:ascii="Times New Roman" w:eastAsia="Times New Roman" w:hAnsi="Times New Roman" w:cs="Times New Roman"/>
          <w:sz w:val="24"/>
          <w:szCs w:val="24"/>
        </w:rPr>
      </w:pPr>
    </w:p>
    <w:p w:rsidR="007825A7" w:rsidRDefault="001D1314">
      <w:pPr>
        <w:pBdr>
          <w:top w:val="nil"/>
          <w:left w:val="nil"/>
          <w:bottom w:val="nil"/>
          <w:right w:val="nil"/>
          <w:between w:val="nil"/>
        </w:pBdr>
        <w:tabs>
          <w:tab w:val="left" w:pos="384"/>
        </w:tabs>
        <w:spacing w:after="24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t xml:space="preserve">C. </w:t>
      </w:r>
      <w:r>
        <w:rPr>
          <w:rFonts w:ascii="Times New Roman" w:eastAsia="Times New Roman" w:hAnsi="Times New Roman" w:cs="Times New Roman"/>
          <w:color w:val="000000"/>
          <w:sz w:val="24"/>
          <w:szCs w:val="24"/>
        </w:rPr>
        <w:t xml:space="preserve">Zhang, M. Zhang, J. Ju, J. </w:t>
      </w:r>
      <w:proofErr w:type="spellStart"/>
      <w:r>
        <w:rPr>
          <w:rFonts w:ascii="Times New Roman" w:eastAsia="Times New Roman" w:hAnsi="Times New Roman" w:cs="Times New Roman"/>
          <w:color w:val="000000"/>
          <w:sz w:val="24"/>
          <w:szCs w:val="24"/>
        </w:rPr>
        <w:t>Nietfeldt</w:t>
      </w:r>
      <w:proofErr w:type="spellEnd"/>
      <w:r>
        <w:rPr>
          <w:rFonts w:ascii="Times New Roman" w:eastAsia="Times New Roman" w:hAnsi="Times New Roman" w:cs="Times New Roman"/>
          <w:color w:val="000000"/>
          <w:sz w:val="24"/>
          <w:szCs w:val="24"/>
        </w:rPr>
        <w:t xml:space="preserve">, J. Wise, P. M. Terry, M. Olson, S. D. </w:t>
      </w:r>
      <w:proofErr w:type="spellStart"/>
      <w:r>
        <w:rPr>
          <w:rFonts w:ascii="Times New Roman" w:eastAsia="Times New Roman" w:hAnsi="Times New Roman" w:cs="Times New Roman"/>
          <w:color w:val="000000"/>
          <w:sz w:val="24"/>
          <w:szCs w:val="24"/>
        </w:rPr>
        <w:t>Kachman</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Wiedmann</w:t>
      </w:r>
      <w:proofErr w:type="spellEnd"/>
      <w:r>
        <w:rPr>
          <w:rFonts w:ascii="Times New Roman" w:eastAsia="Times New Roman" w:hAnsi="Times New Roman" w:cs="Times New Roman"/>
          <w:color w:val="000000"/>
          <w:sz w:val="24"/>
          <w:szCs w:val="24"/>
        </w:rPr>
        <w:t xml:space="preserve">, M. </w:t>
      </w:r>
      <w:proofErr w:type="spellStart"/>
      <w:r>
        <w:rPr>
          <w:rFonts w:ascii="Times New Roman" w:eastAsia="Times New Roman" w:hAnsi="Times New Roman" w:cs="Times New Roman"/>
          <w:color w:val="000000"/>
          <w:sz w:val="24"/>
          <w:szCs w:val="24"/>
        </w:rPr>
        <w:t>Samadpour</w:t>
      </w:r>
      <w:proofErr w:type="spellEnd"/>
      <w:r>
        <w:rPr>
          <w:rFonts w:ascii="Times New Roman" w:eastAsia="Times New Roman" w:hAnsi="Times New Roman" w:cs="Times New Roman"/>
          <w:color w:val="000000"/>
          <w:sz w:val="24"/>
          <w:szCs w:val="24"/>
        </w:rPr>
        <w:t>, A. K. Benson, Genome Diversification in Phylogenetic Lineages I and II of Listeria monocytogenes: Identification of Segments Unique to Lineage I</w:t>
      </w:r>
      <w:r>
        <w:rPr>
          <w:rFonts w:ascii="Times New Roman" w:eastAsia="Times New Roman" w:hAnsi="Times New Roman" w:cs="Times New Roman"/>
          <w:color w:val="000000"/>
          <w:sz w:val="24"/>
          <w:szCs w:val="24"/>
        </w:rPr>
        <w:t xml:space="preserve">I Populations. </w:t>
      </w:r>
      <w:r>
        <w:rPr>
          <w:rFonts w:ascii="Times New Roman" w:eastAsia="Times New Roman" w:hAnsi="Times New Roman" w:cs="Times New Roman"/>
          <w:i/>
          <w:color w:val="000000"/>
          <w:sz w:val="24"/>
          <w:szCs w:val="24"/>
        </w:rPr>
        <w:t xml:space="preserve">J </w:t>
      </w:r>
      <w:proofErr w:type="spellStart"/>
      <w:r>
        <w:rPr>
          <w:rFonts w:ascii="Times New Roman" w:eastAsia="Times New Roman" w:hAnsi="Times New Roman" w:cs="Times New Roman"/>
          <w:i/>
          <w:color w:val="000000"/>
          <w:sz w:val="24"/>
          <w:szCs w:val="24"/>
        </w:rPr>
        <w:t>Bacteriol</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185</w:t>
      </w:r>
      <w:r>
        <w:rPr>
          <w:rFonts w:ascii="Times New Roman" w:eastAsia="Times New Roman" w:hAnsi="Times New Roman" w:cs="Times New Roman"/>
          <w:color w:val="000000"/>
          <w:sz w:val="24"/>
          <w:szCs w:val="24"/>
        </w:rPr>
        <w:t>, 5573–5584 (2003).</w:t>
      </w:r>
    </w:p>
    <w:p w:rsidR="007825A7" w:rsidRDefault="001D1314">
      <w:pPr>
        <w:pBdr>
          <w:top w:val="nil"/>
          <w:left w:val="nil"/>
          <w:bottom w:val="nil"/>
          <w:right w:val="nil"/>
          <w:between w:val="nil"/>
        </w:pBdr>
        <w:tabs>
          <w:tab w:val="left" w:pos="384"/>
        </w:tabs>
        <w:spacing w:after="24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t>
      </w:r>
      <w:r>
        <w:rPr>
          <w:rFonts w:ascii="Times New Roman" w:eastAsia="Times New Roman" w:hAnsi="Times New Roman" w:cs="Times New Roman"/>
          <w:color w:val="000000"/>
          <w:sz w:val="24"/>
          <w:szCs w:val="24"/>
        </w:rPr>
        <w:tab/>
        <w:t xml:space="preserve">J. C. Low, W. </w:t>
      </w:r>
      <w:proofErr w:type="spellStart"/>
      <w:r>
        <w:rPr>
          <w:rFonts w:ascii="Times New Roman" w:eastAsia="Times New Roman" w:hAnsi="Times New Roman" w:cs="Times New Roman"/>
          <w:color w:val="000000"/>
          <w:sz w:val="24"/>
          <w:szCs w:val="24"/>
        </w:rPr>
        <w:t>Donachie</w:t>
      </w:r>
      <w:proofErr w:type="spellEnd"/>
      <w:r>
        <w:rPr>
          <w:rFonts w:ascii="Times New Roman" w:eastAsia="Times New Roman" w:hAnsi="Times New Roman" w:cs="Times New Roman"/>
          <w:color w:val="000000"/>
          <w:sz w:val="24"/>
          <w:szCs w:val="24"/>
        </w:rPr>
        <w:t xml:space="preserve">, A review of Listeria monocytogenes and listeriosis. </w:t>
      </w:r>
      <w:r>
        <w:rPr>
          <w:rFonts w:ascii="Times New Roman" w:eastAsia="Times New Roman" w:hAnsi="Times New Roman" w:cs="Times New Roman"/>
          <w:i/>
          <w:color w:val="000000"/>
          <w:sz w:val="24"/>
          <w:szCs w:val="24"/>
        </w:rPr>
        <w:t>The Veterinary Journal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153</w:t>
      </w:r>
      <w:r>
        <w:rPr>
          <w:rFonts w:ascii="Times New Roman" w:eastAsia="Times New Roman" w:hAnsi="Times New Roman" w:cs="Times New Roman"/>
          <w:color w:val="000000"/>
          <w:sz w:val="24"/>
          <w:szCs w:val="24"/>
        </w:rPr>
        <w:t>, 9–29 (1997).</w:t>
      </w:r>
    </w:p>
    <w:p w:rsidR="007825A7" w:rsidRDefault="001D1314">
      <w:pPr>
        <w:pBdr>
          <w:top w:val="nil"/>
          <w:left w:val="nil"/>
          <w:bottom w:val="nil"/>
          <w:right w:val="nil"/>
          <w:between w:val="nil"/>
        </w:pBdr>
        <w:tabs>
          <w:tab w:val="left" w:pos="384"/>
        </w:tabs>
        <w:spacing w:after="24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A. </w:t>
      </w:r>
      <w:proofErr w:type="spellStart"/>
      <w:r>
        <w:rPr>
          <w:rFonts w:ascii="Times New Roman" w:eastAsia="Times New Roman" w:hAnsi="Times New Roman" w:cs="Times New Roman"/>
          <w:color w:val="000000"/>
          <w:sz w:val="24"/>
          <w:szCs w:val="24"/>
        </w:rPr>
        <w:t>Oevermann</w:t>
      </w:r>
      <w:proofErr w:type="spellEnd"/>
      <w:r>
        <w:rPr>
          <w:rFonts w:ascii="Times New Roman" w:eastAsia="Times New Roman" w:hAnsi="Times New Roman" w:cs="Times New Roman"/>
          <w:color w:val="000000"/>
          <w:sz w:val="24"/>
          <w:szCs w:val="24"/>
        </w:rPr>
        <w:t xml:space="preserve">, A. Zurbriggen, M. </w:t>
      </w:r>
      <w:proofErr w:type="spellStart"/>
      <w:r>
        <w:rPr>
          <w:rFonts w:ascii="Times New Roman" w:eastAsia="Times New Roman" w:hAnsi="Times New Roman" w:cs="Times New Roman"/>
          <w:color w:val="000000"/>
          <w:sz w:val="24"/>
          <w:szCs w:val="24"/>
        </w:rPr>
        <w:t>Vandevelde</w:t>
      </w:r>
      <w:proofErr w:type="spellEnd"/>
      <w:r>
        <w:rPr>
          <w:rFonts w:ascii="Times New Roman" w:eastAsia="Times New Roman" w:hAnsi="Times New Roman" w:cs="Times New Roman"/>
          <w:color w:val="000000"/>
          <w:sz w:val="24"/>
          <w:szCs w:val="24"/>
        </w:rPr>
        <w:t xml:space="preserve">, Rhombencephalitis Caused by Listeria monocytogenes in Humans and Ruminants: A Zoonosis on the Rise? </w:t>
      </w:r>
      <w:proofErr w:type="spellStart"/>
      <w:r>
        <w:rPr>
          <w:rFonts w:ascii="Times New Roman" w:eastAsia="Times New Roman" w:hAnsi="Times New Roman" w:cs="Times New Roman"/>
          <w:i/>
          <w:color w:val="000000"/>
          <w:sz w:val="24"/>
          <w:szCs w:val="24"/>
        </w:rPr>
        <w:t>Interdiscip</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Perspect</w:t>
      </w:r>
      <w:proofErr w:type="spellEnd"/>
      <w:r>
        <w:rPr>
          <w:rFonts w:ascii="Times New Roman" w:eastAsia="Times New Roman" w:hAnsi="Times New Roman" w:cs="Times New Roman"/>
          <w:i/>
          <w:color w:val="000000"/>
          <w:sz w:val="24"/>
          <w:szCs w:val="24"/>
        </w:rPr>
        <w:t xml:space="preserve"> Infect Dis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2010</w:t>
      </w:r>
      <w:r>
        <w:rPr>
          <w:rFonts w:ascii="Times New Roman" w:eastAsia="Times New Roman" w:hAnsi="Times New Roman" w:cs="Times New Roman"/>
          <w:color w:val="000000"/>
          <w:sz w:val="24"/>
          <w:szCs w:val="24"/>
        </w:rPr>
        <w:t xml:space="preserve"> (2010), doi:10.1155/2010/632513.</w:t>
      </w:r>
    </w:p>
    <w:p w:rsidR="007825A7" w:rsidRDefault="001D1314">
      <w:pPr>
        <w:pBdr>
          <w:top w:val="nil"/>
          <w:left w:val="nil"/>
          <w:bottom w:val="nil"/>
          <w:right w:val="nil"/>
          <w:between w:val="nil"/>
        </w:pBdr>
        <w:tabs>
          <w:tab w:val="left" w:pos="384"/>
        </w:tabs>
        <w:spacing w:after="24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Pr>
          <w:rFonts w:ascii="Times New Roman" w:eastAsia="Times New Roman" w:hAnsi="Times New Roman" w:cs="Times New Roman"/>
          <w:color w:val="000000"/>
          <w:sz w:val="24"/>
          <w:szCs w:val="24"/>
        </w:rPr>
        <w:tab/>
        <w:t xml:space="preserve">T. J. Ward, T. F. </w:t>
      </w:r>
      <w:proofErr w:type="spellStart"/>
      <w:r>
        <w:rPr>
          <w:rFonts w:ascii="Times New Roman" w:eastAsia="Times New Roman" w:hAnsi="Times New Roman" w:cs="Times New Roman"/>
          <w:color w:val="000000"/>
          <w:sz w:val="24"/>
          <w:szCs w:val="24"/>
        </w:rPr>
        <w:t>Ducey</w:t>
      </w:r>
      <w:proofErr w:type="spellEnd"/>
      <w:r>
        <w:rPr>
          <w:rFonts w:ascii="Times New Roman" w:eastAsia="Times New Roman" w:hAnsi="Times New Roman" w:cs="Times New Roman"/>
          <w:color w:val="000000"/>
          <w:sz w:val="24"/>
          <w:szCs w:val="24"/>
        </w:rPr>
        <w:t xml:space="preserve">, T. </w:t>
      </w:r>
      <w:proofErr w:type="spellStart"/>
      <w:r>
        <w:rPr>
          <w:rFonts w:ascii="Times New Roman" w:eastAsia="Times New Roman" w:hAnsi="Times New Roman" w:cs="Times New Roman"/>
          <w:color w:val="000000"/>
          <w:sz w:val="24"/>
          <w:szCs w:val="24"/>
        </w:rPr>
        <w:t>Usgaard</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K. A. Dunn, J. P. </w:t>
      </w:r>
      <w:proofErr w:type="spellStart"/>
      <w:r>
        <w:rPr>
          <w:rFonts w:ascii="Times New Roman" w:eastAsia="Times New Roman" w:hAnsi="Times New Roman" w:cs="Times New Roman"/>
          <w:color w:val="000000"/>
          <w:sz w:val="24"/>
          <w:szCs w:val="24"/>
        </w:rPr>
        <w:t>Bielawski</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Multilocus</w:t>
      </w:r>
      <w:proofErr w:type="spellEnd"/>
      <w:r>
        <w:rPr>
          <w:rFonts w:ascii="Times New Roman" w:eastAsia="Times New Roman" w:hAnsi="Times New Roman" w:cs="Times New Roman"/>
          <w:color w:val="000000"/>
          <w:sz w:val="24"/>
          <w:szCs w:val="24"/>
        </w:rPr>
        <w:t xml:space="preserve"> Genotyping Assays for Single Nucleotide Polymorphism-Based Subtyping of Listeria monocytogenes Isolates. </w:t>
      </w:r>
      <w:r>
        <w:rPr>
          <w:rFonts w:ascii="Times New Roman" w:eastAsia="Times New Roman" w:hAnsi="Times New Roman" w:cs="Times New Roman"/>
          <w:i/>
          <w:color w:val="000000"/>
          <w:sz w:val="24"/>
          <w:szCs w:val="24"/>
        </w:rPr>
        <w:t>Appl Environ Microbiol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74</w:t>
      </w:r>
      <w:r>
        <w:rPr>
          <w:rFonts w:ascii="Times New Roman" w:eastAsia="Times New Roman" w:hAnsi="Times New Roman" w:cs="Times New Roman"/>
          <w:color w:val="000000"/>
          <w:sz w:val="24"/>
          <w:szCs w:val="24"/>
        </w:rPr>
        <w:t>, 7629–7642 (2008).</w:t>
      </w:r>
    </w:p>
    <w:p w:rsidR="007825A7" w:rsidRDefault="001D1314">
      <w:pPr>
        <w:pBdr>
          <w:top w:val="nil"/>
          <w:left w:val="nil"/>
          <w:bottom w:val="nil"/>
          <w:right w:val="nil"/>
          <w:between w:val="nil"/>
        </w:pBdr>
        <w:tabs>
          <w:tab w:val="left" w:pos="384"/>
        </w:tabs>
        <w:spacing w:after="24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Pr>
          <w:rFonts w:ascii="Times New Roman" w:eastAsia="Times New Roman" w:hAnsi="Times New Roman" w:cs="Times New Roman"/>
          <w:color w:val="000000"/>
          <w:sz w:val="24"/>
          <w:szCs w:val="24"/>
        </w:rPr>
        <w:tab/>
        <w:t xml:space="preserve">H. C. den Bakker, B. N. </w:t>
      </w:r>
      <w:proofErr w:type="spellStart"/>
      <w:r>
        <w:rPr>
          <w:rFonts w:ascii="Times New Roman" w:eastAsia="Times New Roman" w:hAnsi="Times New Roman" w:cs="Times New Roman"/>
          <w:color w:val="000000"/>
          <w:sz w:val="24"/>
          <w:szCs w:val="24"/>
        </w:rPr>
        <w:t>Bundrant</w:t>
      </w:r>
      <w:proofErr w:type="spellEnd"/>
      <w:r>
        <w:rPr>
          <w:rFonts w:ascii="Times New Roman" w:eastAsia="Times New Roman" w:hAnsi="Times New Roman" w:cs="Times New Roman"/>
          <w:color w:val="000000"/>
          <w:sz w:val="24"/>
          <w:szCs w:val="24"/>
        </w:rPr>
        <w:t xml:space="preserve">, E. D. Fortes, R. H. </w:t>
      </w:r>
      <w:proofErr w:type="spellStart"/>
      <w:r>
        <w:rPr>
          <w:rFonts w:ascii="Times New Roman" w:eastAsia="Times New Roman" w:hAnsi="Times New Roman" w:cs="Times New Roman"/>
          <w:color w:val="000000"/>
          <w:sz w:val="24"/>
          <w:szCs w:val="24"/>
        </w:rPr>
        <w:t>Orsi</w:t>
      </w:r>
      <w:proofErr w:type="spellEnd"/>
      <w:r>
        <w:rPr>
          <w:rFonts w:ascii="Times New Roman" w:eastAsia="Times New Roman" w:hAnsi="Times New Roman" w:cs="Times New Roman"/>
          <w:color w:val="000000"/>
          <w:sz w:val="24"/>
          <w:szCs w:val="24"/>
        </w:rPr>
        <w:t>, M</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Wiedmann</w:t>
      </w:r>
      <w:proofErr w:type="spellEnd"/>
      <w:r>
        <w:rPr>
          <w:rFonts w:ascii="Times New Roman" w:eastAsia="Times New Roman" w:hAnsi="Times New Roman" w:cs="Times New Roman"/>
          <w:color w:val="000000"/>
          <w:sz w:val="24"/>
          <w:szCs w:val="24"/>
        </w:rPr>
        <w:t xml:space="preserve">, A Population Genetics-Based and Phylogenetic Approach to Understanding the Evolution of Virulence in the Genus Listeria. </w:t>
      </w:r>
      <w:r>
        <w:rPr>
          <w:rFonts w:ascii="Times New Roman" w:eastAsia="Times New Roman" w:hAnsi="Times New Roman" w:cs="Times New Roman"/>
          <w:i/>
          <w:color w:val="000000"/>
          <w:sz w:val="24"/>
          <w:szCs w:val="24"/>
        </w:rPr>
        <w:t>Appl Environ Microbiol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76</w:t>
      </w:r>
      <w:r>
        <w:rPr>
          <w:rFonts w:ascii="Times New Roman" w:eastAsia="Times New Roman" w:hAnsi="Times New Roman" w:cs="Times New Roman"/>
          <w:color w:val="000000"/>
          <w:sz w:val="24"/>
          <w:szCs w:val="24"/>
        </w:rPr>
        <w:t>, 6085–6100 (2010).</w:t>
      </w:r>
    </w:p>
    <w:p w:rsidR="007825A7" w:rsidRDefault="001D1314">
      <w:pPr>
        <w:pBdr>
          <w:top w:val="nil"/>
          <w:left w:val="nil"/>
          <w:bottom w:val="nil"/>
          <w:right w:val="nil"/>
          <w:between w:val="nil"/>
        </w:pBdr>
        <w:tabs>
          <w:tab w:val="left" w:pos="384"/>
        </w:tabs>
        <w:spacing w:after="24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 </w:t>
      </w:r>
      <w:r>
        <w:rPr>
          <w:rFonts w:ascii="Times New Roman" w:eastAsia="Times New Roman" w:hAnsi="Times New Roman" w:cs="Times New Roman"/>
          <w:color w:val="000000"/>
          <w:sz w:val="24"/>
          <w:szCs w:val="24"/>
        </w:rPr>
        <w:tab/>
        <w:t xml:space="preserve">L. </w:t>
      </w:r>
      <w:proofErr w:type="spellStart"/>
      <w:r>
        <w:rPr>
          <w:rFonts w:ascii="Times New Roman" w:eastAsia="Times New Roman" w:hAnsi="Times New Roman" w:cs="Times New Roman"/>
          <w:color w:val="000000"/>
          <w:sz w:val="24"/>
          <w:szCs w:val="24"/>
        </w:rPr>
        <w:t>Balandyté</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Brodard</w:t>
      </w:r>
      <w:proofErr w:type="spellEnd"/>
      <w:r>
        <w:rPr>
          <w:rFonts w:ascii="Times New Roman" w:eastAsia="Times New Roman" w:hAnsi="Times New Roman" w:cs="Times New Roman"/>
          <w:color w:val="000000"/>
          <w:sz w:val="24"/>
          <w:szCs w:val="24"/>
        </w:rPr>
        <w:t xml:space="preserve">, J. Frey, A. </w:t>
      </w:r>
      <w:proofErr w:type="spellStart"/>
      <w:r>
        <w:rPr>
          <w:rFonts w:ascii="Times New Roman" w:eastAsia="Times New Roman" w:hAnsi="Times New Roman" w:cs="Times New Roman"/>
          <w:color w:val="000000"/>
          <w:sz w:val="24"/>
          <w:szCs w:val="24"/>
        </w:rPr>
        <w:t>Oevermann</w:t>
      </w:r>
      <w:proofErr w:type="spellEnd"/>
      <w:r>
        <w:rPr>
          <w:rFonts w:ascii="Times New Roman" w:eastAsia="Times New Roman" w:hAnsi="Times New Roman" w:cs="Times New Roman"/>
          <w:color w:val="000000"/>
          <w:sz w:val="24"/>
          <w:szCs w:val="24"/>
        </w:rPr>
        <w:t>, C. Abril, Ruminant Rhomb</w:t>
      </w:r>
      <w:r>
        <w:rPr>
          <w:rFonts w:ascii="Times New Roman" w:eastAsia="Times New Roman" w:hAnsi="Times New Roman" w:cs="Times New Roman"/>
          <w:color w:val="000000"/>
          <w:sz w:val="24"/>
          <w:szCs w:val="24"/>
        </w:rPr>
        <w:t xml:space="preserve">encephalitis-Associated Listeria monocytogenes Alleles Linked to a </w:t>
      </w:r>
      <w:proofErr w:type="spellStart"/>
      <w:r>
        <w:rPr>
          <w:rFonts w:ascii="Times New Roman" w:eastAsia="Times New Roman" w:hAnsi="Times New Roman" w:cs="Times New Roman"/>
          <w:color w:val="000000"/>
          <w:sz w:val="24"/>
          <w:szCs w:val="24"/>
        </w:rPr>
        <w:t>Multilocus</w:t>
      </w:r>
      <w:proofErr w:type="spellEnd"/>
      <w:r>
        <w:rPr>
          <w:rFonts w:ascii="Times New Roman" w:eastAsia="Times New Roman" w:hAnsi="Times New Roman" w:cs="Times New Roman"/>
          <w:color w:val="000000"/>
          <w:sz w:val="24"/>
          <w:szCs w:val="24"/>
        </w:rPr>
        <w:t xml:space="preserve"> Variable-Number Tandem-Repeat Analysis Complex </w:t>
      </w:r>
      <w:r>
        <w:rPr>
          <w:rFonts w:ascii="Cambria Math" w:eastAsia="Cambria Math" w:hAnsi="Cambria Math" w:cs="Cambria Math"/>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Appl Environ Microbiol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77</w:t>
      </w:r>
      <w:r>
        <w:rPr>
          <w:rFonts w:ascii="Times New Roman" w:eastAsia="Times New Roman" w:hAnsi="Times New Roman" w:cs="Times New Roman"/>
          <w:color w:val="000000"/>
          <w:sz w:val="24"/>
          <w:szCs w:val="24"/>
        </w:rPr>
        <w:t>, 8325–8335 (2011).</w:t>
      </w:r>
    </w:p>
    <w:p w:rsidR="007825A7" w:rsidRDefault="001D1314">
      <w:pPr>
        <w:pBdr>
          <w:top w:val="nil"/>
          <w:left w:val="nil"/>
          <w:bottom w:val="nil"/>
          <w:right w:val="nil"/>
          <w:between w:val="nil"/>
        </w:pBdr>
        <w:tabs>
          <w:tab w:val="left" w:pos="384"/>
        </w:tabs>
        <w:spacing w:after="240" w:line="240" w:lineRule="auto"/>
        <w:ind w:left="384" w:hanging="3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 </w:t>
      </w:r>
      <w:r>
        <w:rPr>
          <w:rFonts w:ascii="Times New Roman" w:eastAsia="Times New Roman" w:hAnsi="Times New Roman" w:cs="Times New Roman"/>
          <w:color w:val="000000"/>
          <w:sz w:val="24"/>
          <w:szCs w:val="24"/>
        </w:rPr>
        <w:tab/>
        <w:t>L. Aguilar-</w:t>
      </w:r>
      <w:proofErr w:type="spellStart"/>
      <w:r>
        <w:rPr>
          <w:rFonts w:ascii="Times New Roman" w:eastAsia="Times New Roman" w:hAnsi="Times New Roman" w:cs="Times New Roman"/>
          <w:color w:val="000000"/>
          <w:sz w:val="24"/>
          <w:szCs w:val="24"/>
        </w:rPr>
        <w:t>Bultet</w:t>
      </w:r>
      <w:proofErr w:type="spellEnd"/>
      <w:r>
        <w:rPr>
          <w:rFonts w:ascii="Times New Roman" w:eastAsia="Times New Roman" w:hAnsi="Times New Roman" w:cs="Times New Roman"/>
          <w:color w:val="000000"/>
          <w:sz w:val="24"/>
          <w:szCs w:val="24"/>
        </w:rPr>
        <w:t xml:space="preserve">, P. Nicholson, L. Rychener, M. Dreyer, B. </w:t>
      </w:r>
      <w:proofErr w:type="spellStart"/>
      <w:r>
        <w:rPr>
          <w:rFonts w:ascii="Times New Roman" w:eastAsia="Times New Roman" w:hAnsi="Times New Roman" w:cs="Times New Roman"/>
          <w:color w:val="000000"/>
          <w:sz w:val="24"/>
          <w:szCs w:val="24"/>
        </w:rPr>
        <w:t>Gözel</w:t>
      </w:r>
      <w:proofErr w:type="spellEnd"/>
      <w:r>
        <w:rPr>
          <w:rFonts w:ascii="Times New Roman" w:eastAsia="Times New Roman" w:hAnsi="Times New Roman" w:cs="Times New Roman"/>
          <w:color w:val="000000"/>
          <w:sz w:val="24"/>
          <w:szCs w:val="24"/>
        </w:rPr>
        <w:t xml:space="preserve">, F. C. </w:t>
      </w:r>
      <w:proofErr w:type="spellStart"/>
      <w:r>
        <w:rPr>
          <w:rFonts w:ascii="Times New Roman" w:eastAsia="Times New Roman" w:hAnsi="Times New Roman" w:cs="Times New Roman"/>
          <w:color w:val="000000"/>
          <w:sz w:val="24"/>
          <w:szCs w:val="24"/>
        </w:rPr>
        <w:t>Origg</w:t>
      </w:r>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Oevermann</w:t>
      </w:r>
      <w:proofErr w:type="spellEnd"/>
      <w:r>
        <w:rPr>
          <w:rFonts w:ascii="Times New Roman" w:eastAsia="Times New Roman" w:hAnsi="Times New Roman" w:cs="Times New Roman"/>
          <w:color w:val="000000"/>
          <w:sz w:val="24"/>
          <w:szCs w:val="24"/>
        </w:rPr>
        <w:t xml:space="preserve">, J. Frey, L. </w:t>
      </w:r>
      <w:proofErr w:type="spellStart"/>
      <w:r>
        <w:rPr>
          <w:rFonts w:ascii="Times New Roman" w:eastAsia="Times New Roman" w:hAnsi="Times New Roman" w:cs="Times New Roman"/>
          <w:color w:val="000000"/>
          <w:sz w:val="24"/>
          <w:szCs w:val="24"/>
        </w:rPr>
        <w:t>Falquet</w:t>
      </w:r>
      <w:proofErr w:type="spellEnd"/>
      <w:r>
        <w:rPr>
          <w:rFonts w:ascii="Times New Roman" w:eastAsia="Times New Roman" w:hAnsi="Times New Roman" w:cs="Times New Roman"/>
          <w:color w:val="000000"/>
          <w:sz w:val="24"/>
          <w:szCs w:val="24"/>
        </w:rPr>
        <w:t xml:space="preserve">, Genetic Separation of Listeria monocytogenes Causing Central Nervous System Infections in Animals. </w:t>
      </w:r>
      <w:r>
        <w:rPr>
          <w:rFonts w:ascii="Times New Roman" w:eastAsia="Times New Roman" w:hAnsi="Times New Roman" w:cs="Times New Roman"/>
          <w:i/>
          <w:color w:val="000000"/>
          <w:sz w:val="24"/>
          <w:szCs w:val="24"/>
        </w:rPr>
        <w:t>Front Cell Infect Microbiol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8</w:t>
      </w:r>
      <w:r>
        <w:rPr>
          <w:rFonts w:ascii="Times New Roman" w:eastAsia="Times New Roman" w:hAnsi="Times New Roman" w:cs="Times New Roman"/>
          <w:color w:val="000000"/>
          <w:sz w:val="24"/>
          <w:szCs w:val="24"/>
        </w:rPr>
        <w:t xml:space="preserve"> (2018), doi:10.3389/fcimb.2018.00020.</w:t>
      </w:r>
    </w:p>
    <w:p w:rsidR="007825A7" w:rsidRDefault="007825A7">
      <w:pPr>
        <w:spacing w:line="240" w:lineRule="auto"/>
        <w:jc w:val="both"/>
        <w:rPr>
          <w:rFonts w:ascii="Times New Roman" w:eastAsia="Times New Roman" w:hAnsi="Times New Roman" w:cs="Times New Roman"/>
          <w:sz w:val="24"/>
          <w:szCs w:val="24"/>
        </w:rPr>
      </w:pPr>
    </w:p>
    <w:sectPr w:rsidR="007825A7" w:rsidSect="00F452C7">
      <w:headerReference w:type="default" r:id="rId20"/>
      <w:footerReference w:type="default" r:id="rId2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1314" w:rsidRDefault="001D1314">
      <w:pPr>
        <w:spacing w:line="240" w:lineRule="auto"/>
      </w:pPr>
      <w:r>
        <w:separator/>
      </w:r>
    </w:p>
  </w:endnote>
  <w:endnote w:type="continuationSeparator" w:id="0">
    <w:p w:rsidR="001D1314" w:rsidRDefault="001D1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93234077"/>
      <w:docPartObj>
        <w:docPartGallery w:val="Page Numbers (Bottom of Page)"/>
        <w:docPartUnique/>
      </w:docPartObj>
    </w:sdtPr>
    <w:sdtContent>
      <w:p w:rsidR="00F452C7" w:rsidRDefault="00F452C7" w:rsidP="007D3EC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52C7" w:rsidRDefault="00F452C7" w:rsidP="00F452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C7" w:rsidRPr="00F452C7" w:rsidRDefault="00F452C7" w:rsidP="00F452C7">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C7" w:rsidRPr="00F452C7" w:rsidRDefault="00F452C7" w:rsidP="00F452C7">
    <w:pPr>
      <w:pStyle w:val="Footer"/>
      <w:jc w:val="right"/>
      <w:rPr>
        <w:rFonts w:ascii="Times New Roman" w:hAnsi="Times New Roman" w:cs="Times New Roman"/>
        <w:sz w:val="24"/>
        <w:szCs w:val="24"/>
        <w:lang w:val="en-US"/>
      </w:rPr>
    </w:pPr>
    <w:r w:rsidRPr="00F452C7">
      <w:rPr>
        <w:rFonts w:ascii="Times New Roman" w:hAnsi="Times New Roman" w:cs="Times New Roman"/>
        <w:sz w:val="24"/>
        <w:szCs w:val="24"/>
        <w:lang w:val="en-US"/>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sz w:val="28"/>
        <w:szCs w:val="28"/>
      </w:rPr>
      <w:id w:val="-659685286"/>
      <w:docPartObj>
        <w:docPartGallery w:val="Page Numbers (Bottom of Page)"/>
        <w:docPartUnique/>
      </w:docPartObj>
    </w:sdtPr>
    <w:sdtEndPr>
      <w:rPr>
        <w:rStyle w:val="PageNumber"/>
        <w:sz w:val="24"/>
        <w:szCs w:val="24"/>
      </w:rPr>
    </w:sdtEndPr>
    <w:sdtContent>
      <w:p w:rsidR="00F452C7" w:rsidRPr="00F452C7" w:rsidRDefault="00F452C7" w:rsidP="007D3EC8">
        <w:pPr>
          <w:pStyle w:val="Footer"/>
          <w:framePr w:wrap="none" w:vAnchor="text" w:hAnchor="margin" w:xAlign="right" w:y="1"/>
          <w:rPr>
            <w:rStyle w:val="PageNumber"/>
            <w:rFonts w:ascii="Times New Roman" w:hAnsi="Times New Roman" w:cs="Times New Roman"/>
            <w:sz w:val="24"/>
            <w:szCs w:val="24"/>
          </w:rPr>
        </w:pPr>
        <w:r w:rsidRPr="00F452C7">
          <w:rPr>
            <w:rStyle w:val="PageNumber"/>
            <w:rFonts w:ascii="Times New Roman" w:hAnsi="Times New Roman" w:cs="Times New Roman"/>
            <w:sz w:val="24"/>
            <w:szCs w:val="24"/>
          </w:rPr>
          <w:fldChar w:fldCharType="begin"/>
        </w:r>
        <w:r w:rsidRPr="00F452C7">
          <w:rPr>
            <w:rStyle w:val="PageNumber"/>
            <w:rFonts w:ascii="Times New Roman" w:hAnsi="Times New Roman" w:cs="Times New Roman"/>
            <w:sz w:val="24"/>
            <w:szCs w:val="24"/>
          </w:rPr>
          <w:instrText xml:space="preserve"> PAGE </w:instrText>
        </w:r>
        <w:r w:rsidRPr="00F452C7">
          <w:rPr>
            <w:rStyle w:val="PageNumber"/>
            <w:rFonts w:ascii="Times New Roman" w:hAnsi="Times New Roman" w:cs="Times New Roman"/>
            <w:sz w:val="24"/>
            <w:szCs w:val="24"/>
          </w:rPr>
          <w:fldChar w:fldCharType="separate"/>
        </w:r>
        <w:r w:rsidRPr="00F452C7">
          <w:rPr>
            <w:rStyle w:val="PageNumber"/>
            <w:rFonts w:ascii="Times New Roman" w:hAnsi="Times New Roman" w:cs="Times New Roman"/>
            <w:noProof/>
            <w:sz w:val="24"/>
            <w:szCs w:val="24"/>
          </w:rPr>
          <w:t>3</w:t>
        </w:r>
        <w:r w:rsidRPr="00F452C7">
          <w:rPr>
            <w:rStyle w:val="PageNumber"/>
            <w:rFonts w:ascii="Times New Roman" w:hAnsi="Times New Roman" w:cs="Times New Roman"/>
            <w:sz w:val="24"/>
            <w:szCs w:val="24"/>
          </w:rPr>
          <w:fldChar w:fldCharType="end"/>
        </w:r>
      </w:p>
    </w:sdtContent>
  </w:sdt>
  <w:p w:rsidR="00F452C7" w:rsidRPr="00F452C7" w:rsidRDefault="00F452C7" w:rsidP="00F452C7">
    <w:pPr>
      <w:ind w:right="360"/>
      <w:jc w:val="center"/>
      <w:rPr>
        <w:rFonts w:ascii="Times New Roman" w:eastAsia="Times New Roman" w:hAnsi="Times New Roman" w:cs="Times New Roman"/>
        <w:sz w:val="24"/>
        <w:szCs w:val="2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1314" w:rsidRDefault="001D1314">
      <w:pPr>
        <w:spacing w:line="240" w:lineRule="auto"/>
      </w:pPr>
      <w:r>
        <w:separator/>
      </w:r>
    </w:p>
  </w:footnote>
  <w:footnote w:type="continuationSeparator" w:id="0">
    <w:p w:rsidR="001D1314" w:rsidRDefault="001D1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C7" w:rsidRDefault="00F452C7">
    <w:pPr>
      <w:pStyle w:val="Head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 Final Report</w:t>
    </w:r>
  </w:p>
  <w:p w:rsidR="00F452C7" w:rsidRDefault="00F452C7">
    <w:pPr>
      <w:pStyle w:val="Head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Nkob</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Heather Baldwin, Ida </w:t>
    </w:r>
    <w:proofErr w:type="spellStart"/>
    <w:r>
      <w:rPr>
        <w:rFonts w:ascii="Times New Roman" w:eastAsia="Times New Roman" w:hAnsi="Times New Roman" w:cs="Times New Roman"/>
        <w:sz w:val="24"/>
        <w:szCs w:val="24"/>
      </w:rPr>
      <w:t>Holásková</w:t>
    </w:r>
    <w:proofErr w:type="spellEnd"/>
    <w:r>
      <w:rPr>
        <w:rFonts w:ascii="Times New Roman" w:eastAsia="Times New Roman" w:hAnsi="Times New Roman" w:cs="Times New Roman"/>
        <w:sz w:val="24"/>
        <w:szCs w:val="24"/>
      </w:rPr>
      <w:t>, Denzel Middleton</w:t>
    </w:r>
  </w:p>
  <w:p w:rsidR="00F452C7" w:rsidRDefault="00F452C7">
    <w:pPr>
      <w:pStyle w:val="Header"/>
    </w:pPr>
    <w:r>
      <w:rPr>
        <w:rFonts w:ascii="Times New Roman" w:eastAsia="Times New Roman" w:hAnsi="Times New Roman" w:cs="Times New Roman"/>
        <w:sz w:val="24"/>
        <w:szCs w:val="24"/>
      </w:rPr>
      <w:t>November 12,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52C7" w:rsidRDefault="00F452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5A7"/>
    <w:rsid w:val="000D2D40"/>
    <w:rsid w:val="001D1314"/>
    <w:rsid w:val="007825A7"/>
    <w:rsid w:val="00F4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1AB9"/>
  <w15:docId w15:val="{26C472A4-AE6C-C94C-8CBA-4017F13B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ibliography">
    <w:name w:val="Bibliography"/>
    <w:basedOn w:val="Normal"/>
    <w:next w:val="Normal"/>
    <w:uiPriority w:val="37"/>
    <w:unhideWhenUsed/>
    <w:rsid w:val="00765F79"/>
    <w:pPr>
      <w:tabs>
        <w:tab w:val="left" w:pos="384"/>
      </w:tabs>
      <w:spacing w:after="240" w:line="240" w:lineRule="auto"/>
      <w:ind w:left="384" w:hanging="384"/>
    </w:p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452C7"/>
    <w:pPr>
      <w:tabs>
        <w:tab w:val="center" w:pos="4680"/>
        <w:tab w:val="right" w:pos="9360"/>
      </w:tabs>
      <w:spacing w:line="240" w:lineRule="auto"/>
    </w:pPr>
  </w:style>
  <w:style w:type="character" w:customStyle="1" w:styleId="HeaderChar">
    <w:name w:val="Header Char"/>
    <w:basedOn w:val="DefaultParagraphFont"/>
    <w:link w:val="Header"/>
    <w:uiPriority w:val="99"/>
    <w:rsid w:val="00F452C7"/>
  </w:style>
  <w:style w:type="paragraph" w:styleId="Footer">
    <w:name w:val="footer"/>
    <w:basedOn w:val="Normal"/>
    <w:link w:val="FooterChar"/>
    <w:uiPriority w:val="99"/>
    <w:unhideWhenUsed/>
    <w:rsid w:val="00F452C7"/>
    <w:pPr>
      <w:tabs>
        <w:tab w:val="center" w:pos="4680"/>
        <w:tab w:val="right" w:pos="9360"/>
      </w:tabs>
      <w:spacing w:line="240" w:lineRule="auto"/>
    </w:pPr>
  </w:style>
  <w:style w:type="character" w:customStyle="1" w:styleId="FooterChar">
    <w:name w:val="Footer Char"/>
    <w:basedOn w:val="DefaultParagraphFont"/>
    <w:link w:val="Footer"/>
    <w:uiPriority w:val="99"/>
    <w:rsid w:val="00F452C7"/>
  </w:style>
  <w:style w:type="character" w:styleId="PageNumber">
    <w:name w:val="page number"/>
    <w:basedOn w:val="DefaultParagraphFont"/>
    <w:uiPriority w:val="99"/>
    <w:semiHidden/>
    <w:unhideWhenUsed/>
    <w:rsid w:val="00F452C7"/>
  </w:style>
  <w:style w:type="paragraph" w:styleId="BalloonText">
    <w:name w:val="Balloon Text"/>
    <w:basedOn w:val="Normal"/>
    <w:link w:val="BalloonTextChar"/>
    <w:uiPriority w:val="99"/>
    <w:semiHidden/>
    <w:unhideWhenUsed/>
    <w:rsid w:val="000D2D4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D2D4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cbi.nlm.nih.gov/sra/ERX2192466%5Baccn%5D" TargetMode="External"/><Relationship Id="rId13" Type="http://schemas.openxmlformats.org/officeDocument/2006/relationships/hyperlink" Target="https://www.ncbi.nlm.nih.gov/sra/ERX2192466%5Baccn%5D" TargetMode="External"/><Relationship Id="rId18" Type="http://schemas.openxmlformats.org/officeDocument/2006/relationships/image" Target="media/image5.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ubbQwcU35xRkFqP1ThOK11ozHg==">AMUW2mX2yd0huh77xIrDxWwCgxh7w1My54avf3zsAUTxJockwacZ+M9a9desPOsTYwB2aVHThrIVAmbEPLjC/YMXQju5Jvem8sn2Uj+DOVI6gEFUX8SyOonKGb6iGdhreB6Vp7SR6svi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C904E95-E065-2F44-BB55-B2DF9DE17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3007</Words>
  <Characters>17140</Characters>
  <Application>Microsoft Office Word</Application>
  <DocSecurity>0</DocSecurity>
  <Lines>142</Lines>
  <Paragraphs>40</Paragraphs>
  <ScaleCrop>false</ScaleCrop>
  <Company/>
  <LinksUpToDate>false</LinksUpToDate>
  <CharactersWithSpaces>20107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Ida Holaskova</dc:creator>
  <cp:lastModifiedBy>Heather Baldwin</cp:lastModifiedBy>
  <cp:revision>2</cp:revision>
  <dcterms:created xsi:type="dcterms:W3CDTF">2019-11-13T01:12:00Z</dcterms:created>
  <dcterms:modified xsi:type="dcterms:W3CDTF">2019-11-13T01:12:00Z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id="JTf2tzgq"/&gt;&lt;style id="http://www.zotero.org/styles/science" hasBibliography="1" bibliographyStyleHasBeenSet="1"/&gt;&lt;prefs&gt;&lt;pref name="fieldType" value="Field"/&gt;&lt;/prefs&gt;&lt;/data&gt;</vt:lpwstr>
  </property>
</Properties>
</file>