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060"/>
          <w:sz w:val="32"/>
        </w:rPr>
        <w:t>Batch Manufacturing Record</w:t>
      </w:r>
    </w:p>
    <w:p>
      <w:pPr>
        <w:jc w:val="center"/>
      </w:pPr>
      <w:r>
        <w:rPr>
          <w:b/>
          <w:color w:val="003366"/>
          <w:sz w:val="24"/>
        </w:rPr>
        <w:t>Section 11.0: Final Disposition and Sign-off for Compression Stage</w:t>
      </w:r>
    </w:p>
    <w:p/>
    <w:p>
      <w:r>
        <w:rPr>
          <w:b/>
        </w:rPr>
        <w:t xml:space="preserve">Instruction: </w:t>
      </w:r>
      <w:r>
        <w:t>The final "Core Tablets" must be stored in properly labeled, sealed containers. Production and Quality Assurance must sign below to close out the compression stage for Batch ASP-25-002.</w:t>
      </w:r>
    </w:p>
    <w:p/>
    <w:tbl>
      <w:tblPr>
        <w:tblStyle w:val="LightList-Accent1"/>
        <w:tblW w:type="auto" w:w="0"/>
        <w:tblLook w:firstColumn="1" w:firstRow="1" w:lastColumn="0" w:lastRow="0" w:noHBand="0" w:noVBand="1" w:val="04A0"/>
      </w:tblPr>
      <w:tblGrid>
        <w:gridCol w:w="3408"/>
        <w:gridCol w:w="3408"/>
        <w:gridCol w:w="3408"/>
      </w:tblGrid>
      <w:tr>
        <w:tc>
          <w:tcPr>
            <w:tcW w:type="dxa" w:w="3408"/>
            <w:tcBorders>
              <w:top w:val="single" w:sz="4"/>
              <w:left w:val="single" w:sz="4"/>
              <w:bottom w:val="single" w:sz="4"/>
              <w:right w:val="single" w:sz="4"/>
            </w:tcBorders>
          </w:tcPr>
          <w:p>
            <w:r>
              <w:rPr>
                <w:b/>
              </w:rPr>
            </w:r>
          </w:p>
        </w:tc>
        <w:tc>
          <w:tcPr>
            <w:tcW w:type="dxa" w:w="3408"/>
            <w:tcBorders>
              <w:top w:val="single" w:sz="4"/>
              <w:left w:val="single" w:sz="4"/>
              <w:bottom w:val="single" w:sz="4"/>
              <w:right w:val="single" w:sz="4"/>
            </w:tcBorders>
          </w:tcPr>
          <w:p>
            <w:r>
              <w:rPr>
                <w:b/>
              </w:rPr>
              <w:t>Checkpoint</w:t>
            </w:r>
          </w:p>
        </w:tc>
        <w:tc>
          <w:tcPr>
            <w:tcW w:type="dxa" w:w="3408"/>
            <w:tcBorders>
              <w:top w:val="single" w:sz="4"/>
              <w:left w:val="single" w:sz="4"/>
              <w:bottom w:val="single" w:sz="4"/>
              <w:right w:val="single" w:sz="4"/>
            </w:tcBorders>
          </w:tcPr>
          <w:p>
            <w:r>
              <w:rPr>
                <w:b/>
              </w:rPr>
              <w:t>Details / Signature</w:t>
            </w:r>
          </w:p>
        </w:tc>
      </w:tr>
      <w:tr>
        <w:tc>
          <w:tcPr>
            <w:tcW w:type="dxa" w:w="3408"/>
            <w:tcBorders>
              <w:top w:val="single" w:sz="4"/>
              <w:left w:val="single" w:sz="4"/>
              <w:bottom w:val="single" w:sz="4"/>
              <w:right w:val="single" w:sz="4"/>
            </w:tcBorders>
          </w:tcPr>
          <w:p>
            <w:r>
              <w:t>1</w:t>
            </w:r>
          </w:p>
        </w:tc>
        <w:tc>
          <w:tcPr>
            <w:tcW w:type="dxa" w:w="3408"/>
            <w:tcBorders>
              <w:top w:val="single" w:sz="4"/>
              <w:left w:val="single" w:sz="4"/>
              <w:bottom w:val="single" w:sz="4"/>
              <w:right w:val="single" w:sz="4"/>
            </w:tcBorders>
          </w:tcPr>
          <w:p>
            <w:r>
              <w:t>Storage of Compressed Tablets</w:t>
            </w:r>
          </w:p>
        </w:tc>
        <w:tc>
          <w:tcPr>
            <w:tcW w:type="dxa" w:w="3408"/>
            <w:tcBorders>
              <w:top w:val="single" w:sz="4"/>
              <w:left w:val="single" w:sz="4"/>
              <w:bottom w:val="single" w:sz="4"/>
              <w:right w:val="single" w:sz="4"/>
            </w:tcBorders>
          </w:tcPr>
          <w:p>
            <w:r>
              <w:t>All good tablets (110.950 kg) have been collected and securely sealed in 5 clean, double-polybag-lined containers</w:t>
            </w:r>
          </w:p>
        </w:tc>
      </w:tr>
      <w:tr>
        <w:tc>
          <w:tcPr>
            <w:tcW w:type="dxa" w:w="3408"/>
            <w:tcBorders>
              <w:top w:val="single" w:sz="4"/>
              <w:left w:val="single" w:sz="4"/>
              <w:bottom w:val="single" w:sz="4"/>
              <w:right w:val="single" w:sz="4"/>
            </w:tcBorders>
          </w:tcPr>
          <w:p>
            <w:r>
              <w:t>2</w:t>
            </w:r>
          </w:p>
        </w:tc>
        <w:tc>
          <w:tcPr>
            <w:tcW w:type="dxa" w:w="3408"/>
            <w:tcBorders>
              <w:top w:val="single" w:sz="4"/>
              <w:left w:val="single" w:sz="4"/>
              <w:bottom w:val="single" w:sz="4"/>
              <w:right w:val="single" w:sz="4"/>
            </w:tcBorders>
          </w:tcPr>
          <w:p>
            <w:r>
              <w:t>Container Labels</w:t>
            </w:r>
          </w:p>
        </w:tc>
        <w:tc>
          <w:tcPr>
            <w:tcW w:type="dxa" w:w="3408"/>
            <w:tcBorders>
              <w:top w:val="single" w:sz="4"/>
              <w:left w:val="single" w:sz="4"/>
              <w:bottom w:val="single" w:sz="4"/>
              <w:right w:val="single" w:sz="4"/>
            </w:tcBorders>
          </w:tcPr>
          <w:p>
            <w:r>
              <w:t>Containers are labeled with:</w:t>
              <w:br/>
              <w:t>• Product Name: Aspirin Tablets 325mg (Core Tablets)</w:t>
              <w:br/>
              <w:t>• Batch No.: ASP-25-002</w:t>
              <w:br/>
              <w:t>• Total Tablet Count: 249,850</w:t>
              <w:br/>
              <w:t>• Net Weight: 110.950 kg</w:t>
              <w:br/>
              <w:t>• Status: AWAITING NEXT STAGE</w:t>
            </w:r>
          </w:p>
        </w:tc>
      </w:tr>
      <w:tr>
        <w:tc>
          <w:tcPr>
            <w:tcW w:type="dxa" w:w="3408"/>
            <w:tcBorders>
              <w:top w:val="single" w:sz="4"/>
              <w:left w:val="single" w:sz="4"/>
              <w:bottom w:val="single" w:sz="4"/>
              <w:right w:val="single" w:sz="4"/>
            </w:tcBorders>
          </w:tcPr>
          <w:p>
            <w:r>
              <w:t>3</w:t>
            </w:r>
          </w:p>
        </w:tc>
        <w:tc>
          <w:tcPr>
            <w:tcW w:type="dxa" w:w="3408"/>
            <w:tcBorders>
              <w:top w:val="single" w:sz="4"/>
              <w:left w:val="single" w:sz="4"/>
              <w:bottom w:val="single" w:sz="4"/>
              <w:right w:val="single" w:sz="4"/>
            </w:tcBorders>
          </w:tcPr>
          <w:p>
            <w:r>
              <w:t>---</w:t>
            </w:r>
          </w:p>
        </w:tc>
        <w:tc>
          <w:tcPr>
            <w:tcW w:type="dxa" w:w="3408"/>
            <w:tcBorders>
              <w:top w:val="single" w:sz="4"/>
              <w:left w:val="single" w:sz="4"/>
              <w:bottom w:val="single" w:sz="4"/>
              <w:right w:val="single" w:sz="4"/>
            </w:tcBorders>
          </w:tcPr>
          <w:p>
            <w:r>
              <w:t>---</w:t>
            </w:r>
          </w:p>
        </w:tc>
      </w:tr>
      <w:tr>
        <w:tc>
          <w:tcPr>
            <w:tcW w:type="dxa" w:w="3408"/>
            <w:tcBorders>
              <w:top w:val="single" w:sz="4"/>
              <w:left w:val="single" w:sz="4"/>
              <w:bottom w:val="single" w:sz="4"/>
              <w:right w:val="single" w:sz="4"/>
            </w:tcBorders>
          </w:tcPr>
          <w:p>
            <w:r>
              <w:t>4</w:t>
            </w:r>
          </w:p>
        </w:tc>
        <w:tc>
          <w:tcPr>
            <w:tcW w:type="dxa" w:w="3408"/>
            <w:tcBorders>
              <w:top w:val="single" w:sz="4"/>
              <w:left w:val="single" w:sz="4"/>
              <w:bottom w:val="single" w:sz="4"/>
              <w:right w:val="single" w:sz="4"/>
            </w:tcBorders>
          </w:tcPr>
          <w:p>
            <w:r>
              <w:t>Production Supervisor Final Review</w:t>
            </w:r>
          </w:p>
        </w:tc>
        <w:tc>
          <w:tcPr>
            <w:tcW w:type="dxa" w:w="3408"/>
            <w:tcBorders>
              <w:top w:val="single" w:sz="4"/>
              <w:left w:val="single" w:sz="4"/>
              <w:bottom w:val="single" w:sz="4"/>
              <w:right w:val="single" w:sz="4"/>
            </w:tcBorders>
          </w:tcPr>
          <w:p>
            <w:r>
              <w:t>"I have reviewed all documentation for the compression stage (Sections 6.0 through 10.0) and confirm that all steps were performed and documented as per the BMR. The batch is ready to be transferred to the next stage."</w:t>
              <w:br/>
              <w:br/>
              <w:t>Name: Sunil Verma</w:t>
              <w:br/>
              <w:t>Signature: Sunil Verma</w:t>
              <w:br/>
              <w:t>Date / Time: 18-Mar-2025 / 17:00</w:t>
            </w:r>
          </w:p>
        </w:tc>
      </w:tr>
      <w:tr>
        <w:tc>
          <w:tcPr>
            <w:tcW w:type="dxa" w:w="3408"/>
            <w:tcBorders>
              <w:top w:val="single" w:sz="4"/>
              <w:left w:val="single" w:sz="4"/>
              <w:bottom w:val="single" w:sz="4"/>
              <w:right w:val="single" w:sz="4"/>
            </w:tcBorders>
          </w:tcPr>
          <w:p>
            <w:r>
              <w:t>5</w:t>
            </w:r>
          </w:p>
        </w:tc>
        <w:tc>
          <w:tcPr>
            <w:tcW w:type="dxa" w:w="3408"/>
            <w:tcBorders>
              <w:top w:val="single" w:sz="4"/>
              <w:left w:val="single" w:sz="4"/>
              <w:bottom w:val="single" w:sz="4"/>
              <w:right w:val="single" w:sz="4"/>
            </w:tcBorders>
          </w:tcPr>
          <w:p>
            <w:r>
              <w:t>---</w:t>
            </w:r>
          </w:p>
        </w:tc>
        <w:tc>
          <w:tcPr>
            <w:tcW w:type="dxa" w:w="3408"/>
            <w:tcBorders>
              <w:top w:val="single" w:sz="4"/>
              <w:left w:val="single" w:sz="4"/>
              <w:bottom w:val="single" w:sz="4"/>
              <w:right w:val="single" w:sz="4"/>
            </w:tcBorders>
          </w:tcPr>
          <w:p>
            <w:r>
              <w:t>---</w:t>
            </w:r>
          </w:p>
        </w:tc>
      </w:tr>
      <w:tr>
        <w:tc>
          <w:tcPr>
            <w:tcW w:type="dxa" w:w="3408"/>
            <w:tcBorders>
              <w:top w:val="single" w:sz="4"/>
              <w:left w:val="single" w:sz="4"/>
              <w:bottom w:val="single" w:sz="4"/>
              <w:right w:val="single" w:sz="4"/>
            </w:tcBorders>
          </w:tcPr>
          <w:p>
            <w:r>
              <w:t>6</w:t>
            </w:r>
          </w:p>
        </w:tc>
        <w:tc>
          <w:tcPr>
            <w:tcW w:type="dxa" w:w="3408"/>
            <w:tcBorders>
              <w:top w:val="single" w:sz="4"/>
              <w:left w:val="single" w:sz="4"/>
              <w:bottom w:val="single" w:sz="4"/>
              <w:right w:val="single" w:sz="4"/>
            </w:tcBorders>
          </w:tcPr>
          <w:p>
            <w:r>
              <w:t>Quality Assurance Final Review</w:t>
            </w:r>
          </w:p>
        </w:tc>
        <w:tc>
          <w:tcPr>
            <w:tcW w:type="dxa" w:w="3408"/>
            <w:tcBorders>
              <w:top w:val="single" w:sz="4"/>
              <w:left w:val="single" w:sz="4"/>
              <w:bottom w:val="single" w:sz="4"/>
              <w:right w:val="single" w:sz="4"/>
            </w:tcBorders>
          </w:tcPr>
          <w:p>
            <w:r>
              <w:t>"I have reviewed all records pertaining to the compression of Batch ASP-25-002. All operations, in-process controls, and reconciliations are found to be in compliance with GMP and internal procedures. The batch is approved to proceed to quarantine and await final QC release."</w:t>
              <w:br/>
              <w:br/>
              <w:t>Name: Rohan Desai</w:t>
              <w:br/>
              <w:t>Signature: Rohan Desai</w:t>
              <w:br/>
              <w:t>Date / Time: 2025-03-19 00:00:00</w:t>
            </w:r>
          </w:p>
        </w:tc>
      </w:tr>
    </w:tbl>
    <w:p/>
    <w:p>
      <w:r>
        <w:br w:type="page"/>
      </w:r>
    </w:p>
    <w:p>
      <w:pPr>
        <w:jc w:val="center"/>
      </w:pPr>
      <w:r>
        <w:rPr>
          <w:b/>
          <w:color w:val="002060"/>
          <w:sz w:val="28"/>
        </w:rPr>
        <w:t>End of Compression Stage</w:t>
      </w:r>
    </w:p>
    <w:p/>
    <w:p>
      <w:pPr>
        <w:jc w:val="center"/>
      </w:pPr>
      <w:r>
        <w:t>(The BMR would now await the start of the next major stage, which could be Tablet Coating or Packaging, depending on the product.)</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