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Tertiary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Cartons (Good from Secondary):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Cartons Packed into Shipper Cases:</w:t>
            </w:r>
          </w:p>
        </w:tc>
        <w:tc>
          <w:tcPr>
            <w:tcW w:type="dxa" w:w="3360"/>
          </w:tcPr>
          <w:p>
            <w:r>
              <w:t>8,190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Damaged/Rejected Cartons: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Shipper Case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Shipper Cases Used: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Damaged/Wasted Cases: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Shipper Labels Applied:</w:t>
            </w:r>
          </w:p>
        </w:tc>
        <w:tc>
          <w:tcPr>
            <w:tcW w:type="dxa" w:w="3360"/>
          </w:tcPr>
          <w:p>
            <w:r>
              <w:t>82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Stretch Film Used (rolls):</w:t>
            </w:r>
          </w:p>
        </w:tc>
        <w:tc>
          <w:tcPr>
            <w:tcW w:type="dxa" w:w="3360"/>
          </w:tcPr>
          <w:p>
            <w:r>
              <w:t>2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(Cartons Packed/Input Cartons) × 100</w:t>
            </w:r>
          </w:p>
        </w:tc>
        <w:tc>
          <w:tcPr>
            <w:tcW w:type="dxa" w:w="3360"/>
          </w:tcPr>
          <w:p>
            <w:r>
              <w:t>99.99%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Vikram Patel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