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PVC/PVDC Film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ADAMS PLASTICS L.P.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Flexible Polyvinyl Chloride Film,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01-Feb-2028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Transparent film with a uniform light blue tint, free from gels, fisheyes, and foreign particles.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(FTIR)</w:t>
            </w:r>
          </w:p>
        </w:tc>
        <w:tc>
          <w:tcPr>
            <w:tcW w:type="dxa" w:w="2016"/>
          </w:tcPr>
          <w:p>
            <w:r>
              <w:t>Conforms to the reference spectrum of Polyvinyl Chloride.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In-house FTIR-01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250 µm ± 10% (225 µm - 275 µm)</w:t>
            </w:r>
          </w:p>
        </w:tc>
        <w:tc>
          <w:tcPr>
            <w:tcW w:type="dxa" w:w="2016"/>
          </w:tcPr>
          <w:p>
            <w:r>
              <w:t>252 µm</w:t>
            </w:r>
          </w:p>
        </w:tc>
        <w:tc>
          <w:tcPr>
            <w:tcW w:type="dxa" w:w="2016"/>
          </w:tcPr>
          <w:p>
            <w:r>
              <w:t>ASTM D6988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150.0 mm ± 1.0 mm</w:t>
            </w:r>
          </w:p>
        </w:tc>
        <w:tc>
          <w:tcPr>
            <w:tcW w:type="dxa" w:w="2016"/>
          </w:tcPr>
          <w:p>
            <w:r>
              <w:t>150.1 mm</w:t>
            </w:r>
          </w:p>
        </w:tc>
        <w:tc>
          <w:tcPr>
            <w:tcW w:type="dxa" w:w="2016"/>
          </w:tcPr>
          <w:p>
            <w:r>
              <w:t>In-house CAL-05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 (MD)</w:t>
            </w:r>
          </w:p>
        </w:tc>
        <w:tc>
          <w:tcPr>
            <w:tcW w:type="dxa" w:w="2016"/>
          </w:tcPr>
          <w:p>
            <w:r>
              <w:t>≥ 40 MPa</w:t>
            </w:r>
          </w:p>
        </w:tc>
        <w:tc>
          <w:tcPr>
            <w:tcW w:type="dxa" w:w="2016"/>
          </w:tcPr>
          <w:p>
            <w:r>
              <w:t>45 MPa</w:t>
            </w:r>
          </w:p>
        </w:tc>
        <w:tc>
          <w:tcPr>
            <w:tcW w:type="dxa" w:w="2016"/>
          </w:tcPr>
          <w:p>
            <w:r>
              <w:t>ASTM D882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WATER VAPOR TRANSMISSION RATE (WVTR)</w:t>
            </w:r>
          </w:p>
        </w:tc>
        <w:tc>
          <w:tcPr>
            <w:tcW w:type="dxa" w:w="2016"/>
          </w:tcPr>
          <w:p>
            <w:r>
              <w:t>≤ 3.1 g/m²/day</w:t>
            </w:r>
          </w:p>
        </w:tc>
        <w:tc>
          <w:tcPr>
            <w:tcW w:type="dxa" w:w="2016"/>
          </w:tcPr>
          <w:p>
            <w:r>
              <w:t>2.8 g/m²/day</w:t>
            </w:r>
          </w:p>
        </w:tc>
        <w:tc>
          <w:tcPr>
            <w:tcW w:type="dxa" w:w="2016"/>
          </w:tcPr>
          <w:p>
            <w:r>
              <w:t>ASTM F1249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RESIDUAL VINYL CHLORIDE MONOMER</w:t>
            </w:r>
          </w:p>
        </w:tc>
        <w:tc>
          <w:tcPr>
            <w:tcW w:type="dxa" w:w="2016"/>
          </w:tcPr>
          <w:p>
            <w:r>
              <w:t>Not More Than 1 ppm</w:t>
            </w:r>
          </w:p>
        </w:tc>
        <w:tc>
          <w:tcPr>
            <w:tcW w:type="dxa" w:w="2016"/>
          </w:tcPr>
          <w:p>
            <w:r>
              <w:t>&lt; 1 ppm</w:t>
            </w:r>
          </w:p>
        </w:tc>
        <w:tc>
          <w:tcPr>
            <w:tcW w:type="dxa" w:w="2016"/>
          </w:tcPr>
          <w:p>
            <w:r>
              <w:t>In-house GC-02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Complies with USP &lt;661&gt;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USP &lt;232&gt;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20-Feb-2025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