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API - Purchase Order</w:t>
      </w:r>
    </w:p>
    <w:p/>
    <w:p>
      <w:r>
        <w:rPr>
          <w:b/>
        </w:rPr>
        <w:t xml:space="preserve">PO Date:  </w:t>
      </w:r>
      <w:r>
        <w:t>20-Mar-2025</w:t>
      </w:r>
    </w:p>
    <w:p>
      <w:r>
        <w:rPr>
          <w:b/>
        </w:rPr>
        <w:t xml:space="preserve">Internal Requisition Ref:  </w:t>
      </w:r>
      <w:r>
        <w:t>PR-API-2025-003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3050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RM-SA-001</w:t>
            </w:r>
          </w:p>
        </w:tc>
        <w:tc>
          <w:tcPr>
            <w:tcW w:type="dxa" w:w="1680"/>
          </w:tcPr>
          <w:p>
            <w:r>
              <w:t>Salicylic Acid, USP Grade (SPEC-SA-003)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₹2,500.00</w:t>
            </w:r>
          </w:p>
        </w:tc>
      </w:tr>
    </w:tbl>
    <w:p/>
    <w:p>
      <w:r>
        <w:rPr>
          <w:b/>
        </w:rPr>
        <w:t xml:space="preserve">Total Price (INR):  </w:t>
      </w:r>
      <w:r>
        <w:t>₹2,50,000.00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