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evenly cut, and properly folded.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ART-PIL-ASP325-EN-v3.0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TYPE</w:t>
            </w:r>
          </w:p>
        </w:tc>
        <w:tc>
          <w:tcPr>
            <w:tcW w:type="dxa" w:w="2016"/>
          </w:tcPr>
          <w:p>
            <w:r>
              <w:t>40 GSM Pharmaceutical Grade Paper</w:t>
            </w:r>
          </w:p>
        </w:tc>
        <w:tc>
          <w:tcPr>
            <w:tcW w:type="dxa" w:w="2016"/>
          </w:tcPr>
          <w:p>
            <w:r>
              <w:t>40.1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(UNFOLDED)</w:t>
            </w:r>
          </w:p>
        </w:tc>
        <w:tc>
          <w:tcPr>
            <w:tcW w:type="dxa" w:w="2016"/>
          </w:tcPr>
          <w:p>
            <w:r>
              <w:t>150 mm x 210 mm (± 1.0 mm)</w:t>
            </w:r>
          </w:p>
        </w:tc>
        <w:tc>
          <w:tcPr>
            <w:tcW w:type="dxa" w:w="2016"/>
          </w:tcPr>
          <w:p>
            <w:r>
              <w:t>150.2 mm x 210.1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25 mm x 105 mm (± 1.0 mm)</w:t>
            </w:r>
          </w:p>
        </w:tc>
        <w:tc>
          <w:tcPr>
            <w:tcW w:type="dxa" w:w="2016"/>
          </w:tcPr>
          <w:p>
            <w:r>
              <w:t>25.1 mm x 105.0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Black, 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PHARMACODE / BARCODE</w:t>
            </w:r>
          </w:p>
        </w:tc>
        <w:tc>
          <w:tcPr>
            <w:tcW w:type="dxa" w:w="2016"/>
          </w:tcPr>
          <w:p>
            <w:r>
              <w:t>Correct and scannable. Code: 1A2B3C4D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