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Disintegrant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SIGMA-ALDRICH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S4126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odorless, free-flowing powder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Practically insoluble in cold water</w:t>
            </w:r>
          </w:p>
        </w:tc>
        <w:tc>
          <w:tcPr>
            <w:tcW w:type="dxa" w:w="2016"/>
          </w:tcPr>
          <w:p>
            <w:r>
              <w:t>Insoluble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IDENTIFICATION (FTIR)</w:t>
            </w:r>
          </w:p>
        </w:tc>
        <w:tc>
          <w:tcPr>
            <w:tcW w:type="dxa" w:w="2016"/>
          </w:tcPr>
          <w:p>
            <w:r>
              <w:t>Should match reference spectrum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NMT 15.0%</w:t>
            </w:r>
          </w:p>
        </w:tc>
        <w:tc>
          <w:tcPr>
            <w:tcW w:type="dxa" w:w="2016"/>
          </w:tcPr>
          <w:p>
            <w:r>
              <w:t>0.108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NMT 0.5%</w:t>
            </w:r>
          </w:p>
        </w:tc>
        <w:tc>
          <w:tcPr>
            <w:tcW w:type="dxa" w:w="2016"/>
          </w:tcPr>
          <w:p>
            <w:r>
              <w:t>0.003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NMT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count ≤ 1000 CFU/g; Yeast &amp; Mold ≤ 100 CFU/g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PH (1% SUSPENSION)</w:t>
            </w:r>
          </w:p>
        </w:tc>
        <w:tc>
          <w:tcPr>
            <w:tcW w:type="dxa" w:w="2016"/>
          </w:tcPr>
          <w:p>
            <w:r>
              <w:t>4.0 – 7.0</w:t>
            </w:r>
          </w:p>
        </w:tc>
        <w:tc>
          <w:tcPr>
            <w:tcW w:type="dxa" w:w="2016"/>
          </w:tcPr>
          <w:p>
            <w:r>
              <w:t>5.8</w:t>
            </w:r>
          </w:p>
        </w:tc>
        <w:tc>
          <w:tcPr>
            <w:tcW w:type="dxa" w:w="2016"/>
          </w:tcPr>
          <w:p>
            <w:r>
              <w:t>USP &lt;791&gt;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BULK DENSITY (TAPPED)</w:t>
            </w:r>
          </w:p>
        </w:tc>
        <w:tc>
          <w:tcPr>
            <w:tcW w:type="dxa" w:w="2016"/>
          </w:tcPr>
          <w:p>
            <w:r>
              <w:t>As per specification (0.50 – 0.80 g/mL)</w:t>
            </w:r>
          </w:p>
        </w:tc>
        <w:tc>
          <w:tcPr>
            <w:tcW w:type="dxa" w:w="2016"/>
          </w:tcPr>
          <w:p>
            <w:r>
              <w:t>0.62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