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Shipper Case Label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23-Feb-2025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(250 labels)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White, properly cut label on a roll.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ART-LBL-SHIP-ASP325-v1.0. All static text is correct.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FACE STOCK MATERIAL</w:t>
            </w:r>
          </w:p>
        </w:tc>
        <w:tc>
          <w:tcPr>
            <w:tcW w:type="dxa" w:w="2016"/>
          </w:tcPr>
          <w:p>
            <w:r>
              <w:t>Premium Coated Thermal Transfer Paper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Material Specification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</w:t>
            </w:r>
          </w:p>
        </w:tc>
        <w:tc>
          <w:tcPr>
            <w:tcW w:type="dxa" w:w="2016"/>
          </w:tcPr>
          <w:p>
            <w:r>
              <w:t>101.6 x 152.4 mm (± 1.0 mm)</w:t>
            </w:r>
          </w:p>
        </w:tc>
        <w:tc>
          <w:tcPr>
            <w:tcW w:type="dxa" w:w="2016"/>
          </w:tcPr>
          <w:p>
            <w:r>
              <w:t>101.5 x 152.3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Pre-printed text is clear, legible, and smudge-proof.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BARCODE (CODE 128)</w:t>
            </w:r>
          </w:p>
        </w:tc>
        <w:tc>
          <w:tcPr>
            <w:tcW w:type="dxa" w:w="2016"/>
          </w:tcPr>
          <w:p>
            <w:r>
              <w:t>Correct and scannable. Code: (01)12345678901234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25-Feb-2025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