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Filler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DC FINE CHEMICALS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Microcrystalline Cellulose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Brand / Grade Code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MC-PH101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(IR)</w:t>
            </w:r>
          </w:p>
        </w:tc>
        <w:tc>
          <w:tcPr>
            <w:tcW w:type="dxa" w:w="2016"/>
          </w:tcPr>
          <w:p>
            <w:r>
              <w:t>Conforms to IR spectrum of reference standard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PH (1% SUSPENSION)</w:t>
            </w:r>
          </w:p>
        </w:tc>
        <w:tc>
          <w:tcPr>
            <w:tcW w:type="dxa" w:w="2016"/>
          </w:tcPr>
          <w:p>
            <w:r>
              <w:t>5.0 – 7.5</w:t>
            </w:r>
          </w:p>
        </w:tc>
        <w:tc>
          <w:tcPr>
            <w:tcW w:type="dxa" w:w="2016"/>
          </w:tcPr>
          <w:p>
            <w:r>
              <w:t>5.4</w:t>
            </w:r>
          </w:p>
        </w:tc>
        <w:tc>
          <w:tcPr>
            <w:tcW w:type="dxa" w:w="2016"/>
          </w:tcPr>
          <w:p>
            <w:r>
              <w:t>USP &lt;791&gt;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Insoluble in water and most organic solvents</w:t>
            </w:r>
          </w:p>
        </w:tc>
        <w:tc>
          <w:tcPr>
            <w:tcW w:type="dxa" w:w="2016"/>
          </w:tcPr>
          <w:p>
            <w:r>
              <w:t>Insoluble</w:t>
            </w:r>
          </w:p>
        </w:tc>
        <w:tc>
          <w:tcPr>
            <w:tcW w:type="dxa" w:w="2016"/>
          </w:tcPr>
          <w:p>
            <w:r>
              <w:t>USP &lt;191&gt;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7.0%</w:t>
            </w:r>
          </w:p>
        </w:tc>
        <w:tc>
          <w:tcPr>
            <w:tcW w:type="dxa" w:w="2016"/>
          </w:tcPr>
          <w:p>
            <w:r>
              <w:t>0.038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≤ 0.1%</w:t>
            </w:r>
          </w:p>
        </w:tc>
        <w:tc>
          <w:tcPr>
            <w:tcW w:type="dxa" w:w="2016"/>
          </w:tcPr>
          <w:p>
            <w:r>
              <w:t>0.0004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NMT 10 ppm</w:t>
            </w:r>
          </w:p>
        </w:tc>
        <w:tc>
          <w:tcPr>
            <w:tcW w:type="dxa" w:w="2016"/>
          </w:tcPr>
          <w:p>
            <w:r>
              <w:t>&lt;10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BULK DENSITY</w:t>
            </w:r>
          </w:p>
        </w:tc>
        <w:tc>
          <w:tcPr>
            <w:tcW w:type="dxa" w:w="2016"/>
          </w:tcPr>
          <w:p>
            <w:r>
              <w:t>0.25 – 0.40 g/mL</w:t>
            </w:r>
          </w:p>
        </w:tc>
        <w:tc>
          <w:tcPr>
            <w:tcW w:type="dxa" w:w="2016"/>
          </w:tcPr>
          <w:p>
            <w:r>
              <w:t>0.33 g/mL</w:t>
            </w:r>
          </w:p>
        </w:tc>
        <w:tc>
          <w:tcPr>
            <w:tcW w:type="dxa" w:w="2016"/>
          </w:tcPr>
          <w:p>
            <w:r>
              <w:t>In-house SOP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MICROBIAL LIMITS</w:t>
            </w:r>
          </w:p>
        </w:tc>
        <w:tc>
          <w:tcPr>
            <w:tcW w:type="dxa" w:w="2016"/>
          </w:tcPr>
          <w:p>
            <w:r>
              <w:t>Total aerobic ≤ 1000 CFU/g, Yeast &amp; Mold ≤ 100 CFU/g, Absence of pathogens</w:t>
            </w:r>
          </w:p>
        </w:tc>
        <w:tc>
          <w:tcPr>
            <w:tcW w:type="dxa" w:w="2016"/>
          </w:tcPr>
          <w:p>
            <w:r>
              <w:t>Within limits</w:t>
            </w:r>
          </w:p>
        </w:tc>
        <w:tc>
          <w:tcPr>
            <w:tcW w:type="dxa" w:w="2016"/>
          </w:tcPr>
          <w:p>
            <w:r>
              <w:t>USP &lt;61&gt;, &lt;62&gt;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PARTICLE SIZE</w:t>
            </w:r>
          </w:p>
        </w:tc>
        <w:tc>
          <w:tcPr>
            <w:tcW w:type="dxa" w:w="2016"/>
          </w:tcPr>
          <w:p>
            <w:r>
              <w:t>NLT 85% passes through #60 mesh (250 μm)</w:t>
            </w:r>
          </w:p>
        </w:tc>
        <w:tc>
          <w:tcPr>
            <w:tcW w:type="dxa" w:w="2016"/>
          </w:tcPr>
          <w:p>
            <w:r>
              <w:t>91% passes</w:t>
            </w:r>
          </w:p>
        </w:tc>
        <w:tc>
          <w:tcPr>
            <w:tcW w:type="dxa" w:w="2016"/>
          </w:tcPr>
          <w:p>
            <w:r>
              <w:t>USP &lt;786&gt;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