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F172A"/>
            <w:tcMar>
              <w:top w:w="600" w:type="dxa"/>
              <w:bottom w:w="600" w:type="dxa"/>
              <w:left w:w="600" w:type="dxa"/>
              <w:right w:w="600" w:type="dxa"/>
            </w:tcMar>
            <w:vAlign w:val="center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/>
          <w:p>
            <w:pPr>
              <w:jc w:val="left"/>
              <w:spacing w:before="0" w:after="360"/>
            </w:pPr>
            <w:r>
              <w:rPr>
                <w:rFonts w:ascii="Poppins" w:hAnsi="Poppins" w:eastAsia="Poppins"/>
                <w:b/>
                <w:i w:val="0"/>
                <w:color w:val="0F766E"/>
                <w:sz w:val="16"/>
              </w:rPr>
              <w:t>00 — START HERE</w:t>
            </w:r>
          </w:p>
          <w:p>
            <w:pPr>
              <w:jc w:val="left"/>
              <w:spacing w:before="0" w:after="240"/>
            </w:pPr>
            <w:r>
              <w:rPr>
                <w:rFonts w:ascii="Poppins" w:hAnsi="Poppins" w:eastAsia="Poppins"/>
                <w:b/>
                <w:i w:val="0"/>
                <w:color w:val="FFFFFF"/>
                <w:sz w:val="56"/>
              </w:rPr>
              <w:t>Start Here</w:t>
            </w:r>
          </w:p>
          <w:p>
            <w:pPr>
              <w:jc w:val="left"/>
              <w:spacing w:before="0" w:after="720"/>
            </w:pPr>
            <w:r>
              <w:rPr>
                <w:rFonts w:ascii="Inter" w:hAnsi="Inter" w:eastAsia="Inter"/>
                <w:b w:val="0"/>
                <w:i w:val="0"/>
                <w:color w:val="94A3B8"/>
                <w:sz w:val="24"/>
              </w:rPr>
              <w:t>Your 90-minute launch guide to the complete system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9406"/>
            </w:tblGrid>
            <w:tr>
              <w:tc>
                <w:tcPr>
                  <w:tcW w:type="dxa" w:w="9406"/>
                  <w:shd w:val="clear" w:color="auto" w:fill="0F766E"/>
                  <w:tcMar>
                    <w:top w:w="20" w:type="dxa"/>
                    <w:bottom w:w="20" w:type="dxa"/>
                    <w:left w:w="0" w:type="dxa"/>
                    <w:right w:w="0" w:type="dxa"/>
                  </w:tcMar>
                  <w:tcBorders>
                    <w:top w:val="none" w:sz="0" w:space="0" w:color="auto"/>
                    <w:bottom w:val="none" w:sz="0" w:space="0" w:color="auto"/>
                    <w:left w:val="none" w:sz="0" w:space="0" w:color="auto"/>
                    <w:right w:val="none" w:sz="0" w:space="0" w:color="auto"/>
                    <w:insideH w:val="none" w:sz="0" w:space="0" w:color="auto"/>
                    <w:insideV w:val="none" w:sz="0" w:space="0" w:color="auto"/>
                  </w:tcBorders>
                </w:tcPr>
                <w:p>
                  <w:r>
                    <w:t xml:space="preserve"> </w:t>
                  </w:r>
                </w:p>
              </w:tc>
            </w:tr>
          </w:tbl>
          <w:p/>
          <w:p>
            <w:pPr>
              <w:spacing w:before="480" w:after="0"/>
              <w:jc w:val="left"/>
            </w:pPr>
            <w:r>
              <w:rPr>
                <w:rFonts w:ascii="Poppins" w:hAnsi="Poppins" w:eastAsia="Poppins"/>
                <w:b/>
                <w:i w:val="0"/>
                <w:color w:val="D97706"/>
                <w:sz w:val="16"/>
              </w:rPr>
              <w:t>VERSION v2.0  ·  2025  ·  PREMIUM EDITION</w:t>
            </w:r>
          </w:p>
          <w:p>
            <w:pPr>
              <w:spacing w:before="1200" w:after="0"/>
              <w:jc w:val="left"/>
            </w:pPr>
            <w:r>
              <w:rPr>
                <w:rFonts w:ascii="Inter" w:hAnsi="Inter" w:eastAsia="Inter"/>
                <w:b w:val="0"/>
                <w:i w:val="0"/>
                <w:color w:val="475569"/>
                <w:sz w:val="15"/>
              </w:rPr>
              <w:t>Bookkeeper Practice Launch System  ·  Single-Practice Commercial Use License</w:t>
            </w:r>
          </w:p>
        </w:tc>
      </w:tr>
    </w:tbl>
    <w:p>
      <w:r>
        <w:br w:type="page"/>
      </w:r>
    </w:p>
    <w:p>
      <w:pPr>
        <w:spacing w:before="240" w:after="120"/>
      </w:pPr>
      <w:r>
        <w:rPr>
          <w:rFonts w:ascii="Poppins" w:hAnsi="Poppins" w:eastAsia="Poppins"/>
          <w:b/>
          <w:i w:val="0"/>
          <w:color w:val="0F172A"/>
          <w:sz w:val="36"/>
        </w:rPr>
        <w:t>Welcome to Bookkeeper Practice Launch System v2.0</w:t>
      </w:r>
    </w:p>
    <w:p>
      <w:pPr>
        <w:jc w:val="both"/>
        <w:spacing w:before="0" w:after="80"/>
      </w:pPr>
      <w:r>
        <w:rPr>
          <w:rFonts w:ascii="Inter" w:hAnsi="Inter" w:eastAsia="Inter"/>
          <w:b w:val="0"/>
          <w:i w:val="0"/>
          <w:color w:val="0F172A"/>
          <w:sz w:val="19"/>
        </w:rPr>
        <w:t>You now have a complete operating system for your bookkeeping practice. This guide shows you exactly how to set it up in 90 minutes.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CCFBF1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2" w:space="0" w:color="0F766E"/>
            </w:tcBorders>
            <w:tcBorders>
              <w:top w:val="single" w:sz="4" w:space="0" w:color="E2E8F0"/>
              <w:bottom w:val="single" w:sz="4" w:space="0" w:color="E2E8F0"/>
              <w:right w:val="single" w:sz="4" w:space="0" w:color="E2E8F0"/>
            </w:tcBorders>
          </w:tcPr>
          <w:p/>
          <w:p>
            <w:pPr>
              <w:spacing w:before="0" w:after="80"/>
            </w:pPr>
            <w:r>
              <w:rPr>
                <w:rFonts w:ascii="Poppins" w:hAnsi="Poppins" w:eastAsia="Poppins"/>
                <w:b/>
                <w:i w:val="0"/>
                <w:color w:val="0F766E"/>
                <w:sz w:val="19"/>
              </w:rPr>
              <w:t>Start Here</w:t>
            </w:r>
          </w:p>
          <w:p>
            <w:pPr>
              <w:spacing w:before="0" w:after="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8"/>
              </w:rPr>
              <w:t>Read this file before opening anything else. It tells you what to do, in what order, and why.</w:t>
            </w:r>
          </w:p>
        </w:tc>
      </w:tr>
    </w:tbl>
    <w:p>
      <w:pPr>
        <w:spacing w:before="0" w:after="120"/>
      </w:pP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F766E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r>
              <w:rPr>
                <w:rFonts w:ascii="Poppins" w:hAnsi="Poppins" w:eastAsia="Poppins"/>
                <w:b/>
                <w:i w:val="0"/>
                <w:color w:val="FFFFFF"/>
                <w:sz w:val="20"/>
              </w:rPr>
              <w:t>WHAT IS INCLUDED</w:t>
            </w:r>
          </w:p>
        </w:tc>
      </w:tr>
    </w:tbl>
    <w:p>
      <w:pPr>
        <w:spacing w:before="0" w:after="80"/>
      </w:pP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0F766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Poppins" w:hAnsi="Poppins" w:eastAsia="Poppins"/>
                <w:b/>
                <w:i w:val="0"/>
                <w:color w:val="FFFFFF"/>
                <w:sz w:val="17"/>
              </w:rPr>
              <w:t>Folder</w:t>
            </w:r>
          </w:p>
        </w:tc>
        <w:tc>
          <w:tcPr>
            <w:tcW w:type="dxa" w:w="7370"/>
            <w:shd w:val="clear" w:color="auto" w:fill="0F766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Poppins" w:hAnsi="Poppins" w:eastAsia="Poppins"/>
                <w:b/>
                <w:i w:val="0"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00-START-HERE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Orientation, setup guides, and file inventory</w:t>
            </w:r>
          </w:p>
        </w:tc>
      </w:tr>
      <w:tr>
        <w:tc>
          <w:tcPr>
            <w:tcW w:type="dxa" w:w="3118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01-Quick-Reference</w:t>
            </w:r>
          </w:p>
        </w:tc>
        <w:tc>
          <w:tcPr>
            <w:tcW w:type="dxa" w:w="7370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License, FAQ, version history, support guide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02-Practice-Dashboard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Excel dashboard — your daily operations hub</w:t>
            </w:r>
          </w:p>
        </w:tc>
      </w:tr>
      <w:tr>
        <w:tc>
          <w:tcPr>
            <w:tcW w:type="dxa" w:w="3118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03-Client-Documents</w:t>
            </w:r>
          </w:p>
        </w:tc>
        <w:tc>
          <w:tcPr>
            <w:tcW w:type="dxa" w:w="7370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Service guide, proposal, agreement, intake, deck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04-Operations-Library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SOPs, checklists, and communication scripts</w:t>
            </w:r>
          </w:p>
        </w:tc>
      </w:tr>
      <w:tr>
        <w:tc>
          <w:tcPr>
            <w:tcW w:type="dxa" w:w="3118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05-Notion-Workspace</w:t>
            </w:r>
          </w:p>
        </w:tc>
        <w:tc>
          <w:tcPr>
            <w:tcW w:type="dxa" w:w="7370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7 CSV databases and Notion setup guide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F766E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r>
              <w:rPr>
                <w:rFonts w:ascii="Poppins" w:hAnsi="Poppins" w:eastAsia="Poppins"/>
                <w:b/>
                <w:i w:val="0"/>
                <w:color w:val="FFFFFF"/>
                <w:sz w:val="20"/>
              </w:rPr>
              <w:t>90-MINUTE SETUP SEQUENCE</w:t>
            </w:r>
          </w:p>
        </w:tc>
      </w:tr>
    </w:tbl>
    <w:p>
      <w:pPr>
        <w:spacing w:before="0" w:after="80"/>
      </w:pPr>
    </w:p>
    <w:p/>
    <w:p>
      <w:pPr>
        <w:spacing w:before="160" w:after="60"/>
      </w:pPr>
      <w:r>
        <w:rPr>
          <w:rFonts w:ascii="Poppins" w:hAnsi="Poppins" w:eastAsia="Poppins"/>
          <w:b/>
          <w:i w:val="0"/>
          <w:color w:val="0F172A"/>
          <w:sz w:val="22"/>
        </w:rPr>
        <w:t>Step 1 — Read the guides (10 min)</w:t>
      </w:r>
    </w:p>
    <w:p>
      <w:pPr>
        <w:jc w:val="both"/>
        <w:spacing w:before="0" w:after="80"/>
      </w:pPr>
      <w:r>
        <w:rPr>
          <w:rFonts w:ascii="Inter" w:hAnsi="Inter" w:eastAsia="Inter"/>
          <w:b w:val="0"/>
          <w:i w:val="0"/>
          <w:color w:val="0F172A"/>
          <w:sz w:val="19"/>
        </w:rPr>
        <w:t>Read this file, then Installation-Guide.pdf in 00-START-HERE.</w:t>
      </w:r>
    </w:p>
    <w:p/>
    <w:p>
      <w:pPr>
        <w:spacing w:before="160" w:after="60"/>
      </w:pPr>
      <w:r>
        <w:rPr>
          <w:rFonts w:ascii="Poppins" w:hAnsi="Poppins" w:eastAsia="Poppins"/>
          <w:b/>
          <w:i w:val="0"/>
          <w:color w:val="0F172A"/>
          <w:sz w:val="22"/>
        </w:rPr>
        <w:t>Step 2 — Customize the Dashboard (20 min)</w:t>
      </w:r>
    </w:p>
    <w:p>
      <w:pPr>
        <w:jc w:val="both"/>
        <w:spacing w:before="0" w:after="80"/>
      </w:pPr>
      <w:r>
        <w:rPr>
          <w:rFonts w:ascii="Inter" w:hAnsi="Inter" w:eastAsia="Inter"/>
          <w:b w:val="0"/>
          <w:i w:val="0"/>
          <w:color w:val="0F172A"/>
          <w:sz w:val="19"/>
        </w:rPr>
        <w:t>Open 02-Practice-Dashboard/Bookkeeper-Practice-Dashboard-v2.xlsx. Fill in the yellow Setup cells with your practice name, services, and pricing.</w:t>
      </w:r>
    </w:p>
    <w:p/>
    <w:p>
      <w:pPr>
        <w:spacing w:before="160" w:after="60"/>
      </w:pPr>
      <w:r>
        <w:rPr>
          <w:rFonts w:ascii="Poppins" w:hAnsi="Poppins" w:eastAsia="Poppins"/>
          <w:b/>
          <w:i w:val="0"/>
          <w:color w:val="0F172A"/>
          <w:sz w:val="22"/>
        </w:rPr>
        <w:t>Step 3 — Customize Client Documents (25 min)</w:t>
      </w:r>
    </w:p>
    <w:p>
      <w:pPr>
        <w:jc w:val="both"/>
        <w:spacing w:before="0" w:after="80"/>
      </w:pPr>
      <w:r>
        <w:rPr>
          <w:rFonts w:ascii="Inter" w:hAnsi="Inter" w:eastAsia="Inter"/>
          <w:b w:val="0"/>
          <w:i w:val="0"/>
          <w:color w:val="0F172A"/>
          <w:sz w:val="19"/>
        </w:rPr>
        <w:t>Replace all [BRACKETED TEXT] in the 5 files in 03-Client-Documents. Use Find &amp; Replace in Word (Ctrl+H).</w:t>
      </w:r>
    </w:p>
    <w:p/>
    <w:p>
      <w:pPr>
        <w:spacing w:before="160" w:after="60"/>
      </w:pPr>
      <w:r>
        <w:rPr>
          <w:rFonts w:ascii="Poppins" w:hAnsi="Poppins" w:eastAsia="Poppins"/>
          <w:b/>
          <w:i w:val="0"/>
          <w:color w:val="0F172A"/>
          <w:sz w:val="22"/>
        </w:rPr>
        <w:t>Step 4 — Build your Notion Workspace (15 min)</w:t>
      </w:r>
    </w:p>
    <w:p>
      <w:pPr>
        <w:jc w:val="both"/>
        <w:spacing w:before="0" w:after="80"/>
      </w:pPr>
      <w:r>
        <w:rPr>
          <w:rFonts w:ascii="Inter" w:hAnsi="Inter" w:eastAsia="Inter"/>
          <w:b w:val="0"/>
          <w:i w:val="0"/>
          <w:color w:val="0F172A"/>
          <w:sz w:val="19"/>
        </w:rPr>
        <w:t>Follow the Notion-Setup-Guide.pdf in 05-Notion-Workspace. Import all 7 CSV files and connect them.</w:t>
      </w:r>
    </w:p>
    <w:p/>
    <w:p>
      <w:pPr>
        <w:spacing w:before="160" w:after="60"/>
      </w:pPr>
      <w:r>
        <w:rPr>
          <w:rFonts w:ascii="Poppins" w:hAnsi="Poppins" w:eastAsia="Poppins"/>
          <w:b/>
          <w:i w:val="0"/>
          <w:color w:val="0F172A"/>
          <w:sz w:val="22"/>
        </w:rPr>
        <w:t>Step 5 — Add test data and review (15 min)</w:t>
      </w:r>
    </w:p>
    <w:p>
      <w:pPr>
        <w:jc w:val="both"/>
        <w:spacing w:before="0" w:after="80"/>
      </w:pPr>
      <w:r>
        <w:rPr>
          <w:rFonts w:ascii="Inter" w:hAnsi="Inter" w:eastAsia="Inter"/>
          <w:b w:val="0"/>
          <w:i w:val="0"/>
          <w:color w:val="0F172A"/>
          <w:sz w:val="19"/>
        </w:rPr>
        <w:t>Add 2-3 sample clients. Confirm KPIs populate on the Dashboard sheet.</w:t>
      </w:r>
    </w:p>
    <w:p/>
    <w:p>
      <w:pPr>
        <w:spacing w:before="160" w:after="60"/>
      </w:pPr>
      <w:r>
        <w:rPr>
          <w:rFonts w:ascii="Poppins" w:hAnsi="Poppins" w:eastAsia="Poppins"/>
          <w:b/>
          <w:i w:val="0"/>
          <w:color w:val="0F172A"/>
          <w:sz w:val="22"/>
        </w:rPr>
        <w:t>Step 6 — Read License &amp; FAQ (5 min)</w:t>
      </w:r>
    </w:p>
    <w:p>
      <w:pPr>
        <w:jc w:val="both"/>
        <w:spacing w:before="0" w:after="80"/>
      </w:pPr>
      <w:r>
        <w:rPr>
          <w:rFonts w:ascii="Inter" w:hAnsi="Inter" w:eastAsia="Inter"/>
          <w:b w:val="0"/>
          <w:i w:val="0"/>
          <w:color w:val="0F172A"/>
          <w:sz w:val="19"/>
        </w:rPr>
        <w:t>Review 01-Quick-Reference/License.pdf before sending anything to clients.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F766E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r>
              <w:rPr>
                <w:rFonts w:ascii="Poppins" w:hAnsi="Poppins" w:eastAsia="Poppins"/>
                <w:b/>
                <w:i w:val="0"/>
                <w:color w:val="FFFFFF"/>
                <w:sz w:val="20"/>
              </w:rPr>
              <w:t>CORE CLIENT WORKFLOW</w:t>
            </w:r>
          </w:p>
        </w:tc>
      </w:tr>
    </w:tbl>
    <w:p>
      <w:pPr>
        <w:spacing w:before="0" w:after="80"/>
      </w:pP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0F766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Poppins" w:hAnsi="Poppins" w:eastAsia="Poppins"/>
                <w:b/>
                <w:i w:val="0"/>
                <w:color w:val="FFFFFF"/>
                <w:sz w:val="17"/>
              </w:rPr>
              <w:t>Stage</w:t>
            </w:r>
          </w:p>
        </w:tc>
        <w:tc>
          <w:tcPr>
            <w:tcW w:type="dxa" w:w="4252"/>
            <w:shd w:val="clear" w:color="auto" w:fill="0F766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Poppins" w:hAnsi="Poppins" w:eastAsia="Poppins"/>
                <w:b/>
                <w:i w:val="0"/>
                <w:color w:val="FFFFFF"/>
                <w:sz w:val="17"/>
              </w:rPr>
              <w:t>Action</w:t>
            </w:r>
          </w:p>
        </w:tc>
        <w:tc>
          <w:tcPr>
            <w:tcW w:type="dxa" w:w="3969"/>
            <w:shd w:val="clear" w:color="auto" w:fill="0F766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Poppins" w:hAnsi="Poppins" w:eastAsia="Poppins"/>
                <w:b/>
                <w:i w:val="0"/>
                <w:color w:val="FFFFFF"/>
                <w:sz w:val="17"/>
              </w:rPr>
              <w:t>File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Lead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Qualify entity, volume, software, and urgency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Lead Pipeline (Dashboard)</w:t>
            </w:r>
          </w:p>
        </w:tc>
      </w:tr>
      <w:tr>
        <w:tc>
          <w:tcPr>
            <w:tcW w:type="dxa" w:w="2268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Diagnostic</w:t>
            </w:r>
          </w:p>
        </w:tc>
        <w:tc>
          <w:tcPr>
            <w:tcW w:type="dxa" w:w="4252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Review books, backlog, accounts, and reporting needs</w:t>
            </w:r>
          </w:p>
        </w:tc>
        <w:tc>
          <w:tcPr>
            <w:tcW w:type="dxa" w:w="3969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Client-Intake-and-Onboarding-Pack-v2.docx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Proposal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Define scope, assumptions, cleanup, and fee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Bookkeeping-Proposal-Template-v2.docx</w:t>
            </w:r>
          </w:p>
        </w:tc>
      </w:tr>
      <w:tr>
        <w:tc>
          <w:tcPr>
            <w:tcW w:type="dxa" w:w="2268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Engagement</w:t>
            </w:r>
          </w:p>
        </w:tc>
        <w:tc>
          <w:tcPr>
            <w:tcW w:type="dxa" w:w="4252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Sign terms, collect payment, confirm responsibilities</w:t>
            </w:r>
          </w:p>
        </w:tc>
        <w:tc>
          <w:tcPr>
            <w:tcW w:type="dxa" w:w="3969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Bookkeeping-Engagement-Agreement-v2.docx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Onboarding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Collect access, chart of accounts, documents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Client-Intake-and-Onboarding-Pack-v2.docx</w:t>
            </w:r>
          </w:p>
        </w:tc>
      </w:tr>
      <w:tr>
        <w:tc>
          <w:tcPr>
            <w:tcW w:type="dxa" w:w="2268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Monthly Close</w:t>
            </w:r>
          </w:p>
        </w:tc>
        <w:tc>
          <w:tcPr>
            <w:tcW w:type="dxa" w:w="4252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Reconcile, review, adjust, report, document</w:t>
            </w:r>
          </w:p>
        </w:tc>
        <w:tc>
          <w:tcPr>
            <w:tcW w:type="dxa" w:w="3969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Dashboard + SOPs-and-Checklists-v2.docx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Client Review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Deliver reports, explain exceptions, confirm next steps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Client-Portal (Notion) + Scripts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EF2F2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2" w:space="0" w:color="EF4444"/>
            </w:tcBorders>
            <w:tcBorders>
              <w:top w:val="single" w:sz="4" w:space="0" w:color="E2E8F0"/>
              <w:bottom w:val="single" w:sz="4" w:space="0" w:color="E2E8F0"/>
              <w:right w:val="single" w:sz="4" w:space="0" w:color="E2E8F0"/>
            </w:tcBorders>
          </w:tcPr>
          <w:p/>
          <w:p>
            <w:pPr>
              <w:spacing w:before="0" w:after="80"/>
            </w:pPr>
            <w:r>
              <w:rPr>
                <w:rFonts w:ascii="Poppins" w:hAnsi="Poppins" w:eastAsia="Poppins"/>
                <w:b/>
                <w:i w:val="0"/>
                <w:color w:val="EF4444"/>
                <w:sz w:val="19"/>
              </w:rPr>
              <w:t>Professional Notice</w:t>
            </w:r>
          </w:p>
          <w:p>
            <w:pPr>
              <w:spacing w:before="0" w:after="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8"/>
              </w:rPr>
              <w:t>This product supports bookkeeping operations only. It is not accounting, tax, legal, audit, assurance, payroll, or regulatory advice. Adapt all files to your credentials, jurisdiction, and permitted professional scope.</w:t>
            </w:r>
          </w:p>
        </w:tc>
      </w:tr>
    </w:tbl>
    <w:p>
      <w:pPr>
        <w:spacing w:before="0" w:after="1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  <w:tcMar>
            <w:top w:w="60" w:type="dxa"/>
            <w:bottom w:w="60" w:type="dxa"/>
            <w:left w:w="0" w:type="dxa"/>
            <w:right w:w="60" w:type="dxa"/>
          </w:tcMar>
          <w:tcBorders>
            <w:top w:val="none" w:sz="0" w:space="0" w:color="auto"/>
            <w:bottom w:val="none" w:sz="0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cBorders>
        </w:tcPr>
        <w:p>
          <w:pPr>
            <w:jc w:val="left"/>
          </w:pPr>
          <w:r>
            <w:rPr>
              <w:rFonts w:ascii="Inter" w:hAnsi="Inter" w:eastAsia="Inter"/>
              <w:b w:val="0"/>
              <w:i w:val="0"/>
              <w:color w:val="64748B"/>
              <w:sz w:val="15"/>
            </w:rPr>
            <w:t>© 2025 Bookkeeper Practice Launch System v2.0  ·  Commercial Use License</w:t>
          </w:r>
        </w:p>
      </w:tc>
      <w:tc>
        <w:tcPr>
          <w:tcW w:type="dxa" w:w="4680"/>
          <w:tcMar>
            <w:top w:w="60" w:type="dxa"/>
            <w:bottom w:w="60" w:type="dxa"/>
            <w:left w:w="60" w:type="dxa"/>
            <w:right w:w="0" w:type="dxa"/>
          </w:tcMar>
          <w:tcBorders>
            <w:top w:val="none" w:sz="0" w:space="0" w:color="auto"/>
            <w:bottom w:val="none" w:sz="0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cBorders>
        </w:tcPr>
        <w:p>
          <w:pPr>
            <w:jc w:val="right"/>
          </w:pPr>
          <w:r>
            <w:rPr>
              <w:rFonts w:ascii="Inter" w:hAnsi="Inter" w:eastAsia="Inter"/>
              <w:b/>
              <w:i w:val="0"/>
              <w:color w:val="0F766E"/>
              <w:sz w:val="15"/>
            </w:rPr>
            <w:t xml:space="preserve">Page </w:t>
          </w:r>
          <w:r>
            <w:rPr>
              <w:rFonts w:ascii="Inter" w:hAnsi="Inter" w:eastAsia="Inter"/>
              <w:b w:val="0"/>
              <w:i w:val="0"/>
              <w:color w:val="64748B"/>
              <w:sz w:val="16"/>
            </w:rPr>
            <w:fldChar w:fldCharType="begin"/>
            <w:instrText>PAGE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  <w:shd w:val="clear" w:color="auto" w:fill="0F172A"/>
          <w:tcMar>
            <w:top w:w="80" w:type="dxa"/>
            <w:bottom w:w="80" w:type="dxa"/>
            <w:left w:w="150" w:type="dxa"/>
            <w:right w:w="80" w:type="dxa"/>
          </w:tcMar>
          <w:tcBorders>
            <w:top w:val="none" w:sz="0" w:space="0" w:color="auto"/>
            <w:bottom w:val="none" w:sz="0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cBorders>
        </w:tcPr>
        <w:p>
          <w:pPr>
            <w:jc w:val="left"/>
          </w:pPr>
          <w:r>
            <w:rPr>
              <w:rFonts w:ascii="Poppins" w:hAnsi="Poppins" w:eastAsia="Poppins"/>
              <w:b/>
              <w:i w:val="0"/>
              <w:color w:val="FFFFFF"/>
              <w:sz w:val="17"/>
            </w:rPr>
            <w:t>BOOKKEEPER PRACTICE LAUNCH SYSTEM</w:t>
          </w:r>
        </w:p>
      </w:tc>
      <w:tc>
        <w:tcPr>
          <w:tcW w:type="dxa" w:w="4680"/>
          <w:shd w:val="clear" w:color="auto" w:fill="0F766E"/>
          <w:tcMar>
            <w:top w:w="80" w:type="dxa"/>
            <w:bottom w:w="80" w:type="dxa"/>
            <w:left w:w="80" w:type="dxa"/>
            <w:right w:w="150" w:type="dxa"/>
          </w:tcMar>
          <w:tcBorders>
            <w:top w:val="none" w:sz="0" w:space="0" w:color="auto"/>
            <w:bottom w:val="none" w:sz="0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cBorders>
        </w:tcPr>
        <w:p>
          <w:pPr>
            <w:jc w:val="right"/>
          </w:pPr>
          <w:r>
            <w:rPr>
              <w:rFonts w:ascii="Poppins" w:hAnsi="Poppins" w:eastAsia="Poppins"/>
              <w:b/>
              <w:i w:val="0"/>
              <w:color w:val="FFFFFF"/>
              <w:sz w:val="17"/>
            </w:rPr>
            <w:t>Start Here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