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F172A"/>
            <w:tcMar>
              <w:top w:w="600" w:type="dxa"/>
              <w:bottom w:w="600" w:type="dxa"/>
              <w:left w:w="600" w:type="dxa"/>
              <w:right w:w="600" w:type="dxa"/>
            </w:tcMar>
            <w:vAlign w:val="center"/>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jc w:val="left"/>
              <w:spacing w:before="0" w:after="360"/>
            </w:pPr>
            <w:r>
              <w:rPr>
                <w:rFonts w:ascii="Poppins" w:hAnsi="Poppins" w:eastAsia="Poppins"/>
                <w:b/>
                <w:i w:val="0"/>
                <w:color w:val="0F766E"/>
                <w:sz w:val="16"/>
              </w:rPr>
              <w:t>03 — CLIENT DOCUMENTS</w:t>
            </w:r>
          </w:p>
          <w:p>
            <w:pPr>
              <w:jc w:val="left"/>
              <w:spacing w:before="0" w:after="240"/>
            </w:pPr>
            <w:r>
              <w:rPr>
                <w:rFonts w:ascii="Poppins" w:hAnsi="Poppins" w:eastAsia="Poppins"/>
                <w:b/>
                <w:i w:val="0"/>
                <w:color w:val="FFFFFF"/>
                <w:sz w:val="56"/>
              </w:rPr>
              <w:t>Bookkeeping</w:t>
              <w:br/>
              <w:t>Engagement Agreement</w:t>
            </w:r>
          </w:p>
          <w:p>
            <w:pPr>
              <w:jc w:val="left"/>
              <w:spacing w:before="0" w:after="720"/>
            </w:pPr>
            <w:r>
              <w:rPr>
                <w:rFonts w:ascii="Inter" w:hAnsi="Inter" w:eastAsia="Inter"/>
                <w:b w:val="0"/>
                <w:i w:val="0"/>
                <w:color w:val="94A3B8"/>
                <w:sz w:val="24"/>
              </w:rPr>
              <w:t>Between [PRACTICE LEGAL NAME] and [CLIENT LEGAL NAME]</w:t>
            </w:r>
          </w:p>
          <w:tbl>
            <w:tblPr>
              <w:tblW w:type="auto" w:w="0"/>
              <w:tblLook w:firstColumn="1" w:firstRow="1" w:lastColumn="0" w:lastRow="0" w:noHBand="0" w:noVBand="1" w:val="04A0"/>
            </w:tblPr>
            <w:tblGrid>
              <w:gridCol w:w="9406"/>
            </w:tblGrid>
            <w:tr>
              <w:tc>
                <w:tcPr>
                  <w:tcW w:type="dxa" w:w="9406"/>
                  <w:shd w:val="clear" w:color="auto" w:fill="0F766E"/>
                  <w:tcMar>
                    <w:top w:w="20" w:type="dxa"/>
                    <w:bottom w:w="20" w:type="dxa"/>
                    <w:left w:w="0" w:type="dxa"/>
                    <w:right w:w="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r>
                    <w:t xml:space="preserve"> </w:t>
                  </w:r>
                </w:p>
              </w:tc>
            </w:tr>
          </w:tbl>
          <w:p/>
          <w:p>
            <w:pPr>
              <w:spacing w:before="480" w:after="0"/>
              <w:jc w:val="left"/>
            </w:pPr>
            <w:r>
              <w:rPr>
                <w:rFonts w:ascii="Poppins" w:hAnsi="Poppins" w:eastAsia="Poppins"/>
                <w:b/>
                <w:i w:val="0"/>
                <w:color w:val="D97706"/>
                <w:sz w:val="16"/>
              </w:rPr>
              <w:t>VERSION v2.0  ·  2025  ·  PREMIUM EDITION</w:t>
            </w:r>
          </w:p>
          <w:p>
            <w:pPr>
              <w:spacing w:before="1200" w:after="0"/>
              <w:jc w:val="left"/>
            </w:pPr>
            <w:r>
              <w:rPr>
                <w:rFonts w:ascii="Inter" w:hAnsi="Inter" w:eastAsia="Inter"/>
                <w:b w:val="0"/>
                <w:i w:val="0"/>
                <w:color w:val="475569"/>
                <w:sz w:val="15"/>
              </w:rPr>
              <w:t>Bookkeeper Practice Launch System  ·  Single-Practice Commercial Use License</w:t>
            </w:r>
          </w:p>
        </w:tc>
      </w:tr>
    </w:tbl>
    <w:p>
      <w:r>
        <w:br w:type="page"/>
      </w:r>
    </w:p>
    <w:tbl>
      <w:tblPr>
        <w:tblW w:type="auto" w:w="0"/>
        <w:jc w:val="center"/>
        <w:tblLook w:firstColumn="1" w:firstRow="1" w:lastColumn="0" w:lastRow="0" w:noHBand="0" w:noVBand="1" w:val="04A0"/>
      </w:tblPr>
      <w:tblGrid>
        <w:gridCol w:w="9406"/>
      </w:tblGrid>
      <w:tr>
        <w:tc>
          <w:tcPr>
            <w:tcW w:type="dxa" w:w="9406"/>
            <w:shd w:val="clear" w:color="auto" w:fill="FEF2F2"/>
            <w:tcMar>
              <w:top w:w="120" w:type="dxa"/>
              <w:bottom w:w="120" w:type="dxa"/>
              <w:left w:w="180" w:type="dxa"/>
              <w:right w:w="180" w:type="dxa"/>
            </w:tcMar>
            <w:tcBorders>
              <w:left w:val="single" w:sz="12" w:space="0" w:color="EF4444"/>
            </w:tcBorders>
            <w:tcBorders>
              <w:top w:val="single" w:sz="4" w:space="0" w:color="E2E8F0"/>
              <w:bottom w:val="single" w:sz="4" w:space="0" w:color="E2E8F0"/>
              <w:right w:val="single" w:sz="4" w:space="0" w:color="E2E8F0"/>
            </w:tcBorders>
          </w:tcPr>
          <w:p/>
          <w:p>
            <w:pPr>
              <w:spacing w:before="0" w:after="80"/>
            </w:pPr>
            <w:r>
              <w:rPr>
                <w:rFonts w:ascii="Poppins" w:hAnsi="Poppins" w:eastAsia="Poppins"/>
                <w:b/>
                <w:i w:val="0"/>
                <w:color w:val="EF4444"/>
                <w:sz w:val="19"/>
              </w:rPr>
              <w:t>Legal Review Required Before Use</w:t>
            </w:r>
          </w:p>
          <w:p>
            <w:pPr>
              <w:spacing w:before="0" w:after="0"/>
            </w:pPr>
            <w:r>
              <w:rPr>
                <w:rFonts w:ascii="Inter" w:hAnsi="Inter" w:eastAsia="Inter"/>
                <w:b w:val="0"/>
                <w:i w:val="0"/>
                <w:color w:val="0F172A"/>
                <w:sz w:val="18"/>
              </w:rPr>
              <w:t>This is a general template — not legal advice. Have a qualified lawyer review it for your jurisdiction, credentials, privacy duties, and permitted services before sending to any client.</w:t>
            </w:r>
          </w:p>
        </w:tc>
      </w:tr>
    </w:tbl>
    <w:p>
      <w:pPr>
        <w:spacing w:before="0" w:after="120"/>
      </w:pPr>
    </w:p>
    <w:p/>
    <w:p>
      <w:pPr>
        <w:spacing w:before="240" w:after="120"/>
      </w:pPr>
      <w:r>
        <w:rPr>
          <w:rFonts w:ascii="Poppins" w:hAnsi="Poppins" w:eastAsia="Poppins"/>
          <w:b/>
          <w:i w:val="0"/>
          <w:color w:val="0F172A"/>
          <w:sz w:val="36"/>
        </w:rPr>
        <w:t>Agreement Details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0F766E"/>
            <w:tcMar>
              <w:top w:w="80" w:type="dxa"/>
              <w:bottom w:w="80" w:type="dxa"/>
              <w:left w:w="120" w:type="dxa"/>
              <w:right w:w="120" w:type="dxa"/>
            </w:tcMar>
          </w:tcPr>
          <w:p>
            <w:pPr>
              <w:jc w:val="left"/>
            </w:pPr>
            <w:r>
              <w:rPr>
                <w:rFonts w:ascii="Poppins" w:hAnsi="Poppins" w:eastAsia="Poppins"/>
                <w:b/>
                <w:i w:val="0"/>
                <w:color w:val="FFFFFF"/>
                <w:sz w:val="17"/>
              </w:rPr>
              <w:t>Party</w:t>
            </w:r>
          </w:p>
        </w:tc>
        <w:tc>
          <w:tcPr>
            <w:tcW w:type="dxa" w:w="7654"/>
            <w:shd w:val="clear" w:color="auto" w:fill="0F766E"/>
            <w:tcMar>
              <w:top w:w="80" w:type="dxa"/>
              <w:bottom w:w="80" w:type="dxa"/>
              <w:left w:w="120" w:type="dxa"/>
              <w:right w:w="120" w:type="dxa"/>
            </w:tcMar>
          </w:tcPr>
          <w:p>
            <w:pPr>
              <w:jc w:val="left"/>
            </w:pPr>
            <w:r>
              <w:rPr>
                <w:rFonts w:ascii="Poppins" w:hAnsi="Poppins" w:eastAsia="Poppins"/>
                <w:b/>
                <w:i w:val="0"/>
                <w:color w:val="FFFFFF"/>
                <w:sz w:val="17"/>
              </w:rPr>
              <w:t>Details</w:t>
            </w:r>
          </w:p>
        </w:tc>
      </w:tr>
      <w:tr>
        <w:tc>
          <w:tcPr>
            <w:tcW w:type="dxa" w:w="2835"/>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 Legal Name</w:t>
            </w:r>
          </w:p>
        </w:tc>
        <w:tc>
          <w:tcPr>
            <w:tcW w:type="dxa" w:w="7654"/>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 LEGAL NAME]</w:t>
            </w:r>
          </w:p>
        </w:tc>
      </w:tr>
      <w:tr>
        <w:tc>
          <w:tcPr>
            <w:tcW w:type="dxa" w:w="2835"/>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 Address</w:t>
            </w:r>
          </w:p>
        </w:tc>
        <w:tc>
          <w:tcPr>
            <w:tcW w:type="dxa" w:w="7654"/>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 ADDRESS]</w:t>
            </w:r>
          </w:p>
        </w:tc>
      </w:tr>
      <w:tr>
        <w:tc>
          <w:tcPr>
            <w:tcW w:type="dxa" w:w="2835"/>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 Legal Name</w:t>
            </w:r>
          </w:p>
        </w:tc>
        <w:tc>
          <w:tcPr>
            <w:tcW w:type="dxa" w:w="7654"/>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 LEGAL NAME]</w:t>
            </w:r>
          </w:p>
        </w:tc>
      </w:tr>
      <w:tr>
        <w:tc>
          <w:tcPr>
            <w:tcW w:type="dxa" w:w="2835"/>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 Address</w:t>
            </w:r>
          </w:p>
        </w:tc>
        <w:tc>
          <w:tcPr>
            <w:tcW w:type="dxa" w:w="7654"/>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 ADDRESS]</w:t>
            </w:r>
          </w:p>
        </w:tc>
      </w:tr>
      <w:tr>
        <w:tc>
          <w:tcPr>
            <w:tcW w:type="dxa" w:w="2835"/>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Agreement Date</w:t>
            </w:r>
          </w:p>
        </w:tc>
        <w:tc>
          <w:tcPr>
            <w:tcW w:type="dxa" w:w="7654"/>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[DATE]</w:t>
            </w:r>
          </w:p>
        </w:tc>
      </w:tr>
      <w:tr>
        <w:tc>
          <w:tcPr>
            <w:tcW w:type="dxa" w:w="2835"/>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Governed by the law of</w:t>
            </w:r>
          </w:p>
        </w:tc>
        <w:tc>
          <w:tcPr>
            <w:tcW w:type="dxa" w:w="7654"/>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[JURISDICTION]</w:t>
            </w:r>
          </w:p>
        </w:tc>
      </w:tr>
    </w:tbl>
    <w:p>
      <w:pPr>
        <w:spacing w:before="0" w:after="120"/>
      </w:pPr>
    </w:p>
    <w:p>
      <w:pPr>
        <w:spacing w:before="200" w:after="80"/>
      </w:pPr>
      <w:r>
        <w:rPr>
          <w:rFonts w:ascii="Poppins" w:hAnsi="Poppins" w:eastAsia="Poppins"/>
          <w:b/>
          <w:i w:val="0"/>
          <w:color w:val="0F766E"/>
          <w:sz w:val="26"/>
        </w:rPr>
        <w:t>1. Services</w:t>
      </w:r>
    </w:p>
    <w:p>
      <w:pPr>
        <w:jc w:val="both"/>
        <w:spacing w:before="0" w:after="80"/>
      </w:pPr>
      <w:r>
        <w:rPr>
          <w:rFonts w:ascii="Inter" w:hAnsi="Inter" w:eastAsia="Inter"/>
          <w:b w:val="0"/>
          <w:i w:val="0"/>
          <w:color w:val="0F172A"/>
          <w:sz w:val="19"/>
        </w:rPr>
        <w:t>The Practice will perform the bookkeeping services described in the attached Scope of Work. Services not expressly listed are excluded. The Scope of Work may be updated by written amendment signed by both parties.</w:t>
      </w:r>
    </w:p>
    <w:p/>
    <w:p>
      <w:pPr>
        <w:spacing w:before="200" w:after="80"/>
      </w:pPr>
      <w:r>
        <w:rPr>
          <w:rFonts w:ascii="Poppins" w:hAnsi="Poppins" w:eastAsia="Poppins"/>
          <w:b/>
          <w:i w:val="0"/>
          <w:color w:val="0F766E"/>
          <w:sz w:val="26"/>
        </w:rPr>
        <w:t>2. Client Responsibilities</w:t>
      </w:r>
    </w:p>
    <w:p>
      <w:pPr>
        <w:jc w:val="both"/>
        <w:spacing w:before="0" w:after="80"/>
      </w:pPr>
      <w:r>
        <w:rPr>
          <w:rFonts w:ascii="Inter" w:hAnsi="Inter" w:eastAsia="Inter"/>
          <w:b w:val="0"/>
          <w:i w:val="0"/>
          <w:color w:val="0F172A"/>
          <w:sz w:val="19"/>
        </w:rPr>
        <w:t>Client remains responsible for all business decisions, internal controls, source records, transaction authorization, legal compliance, and the completeness and accuracy of all information supplied. The Practice relies on information provided by Client and does not independently verify source documents.</w:t>
      </w:r>
    </w:p>
    <w:p/>
    <w:p>
      <w:pPr>
        <w:spacing w:before="200" w:after="80"/>
      </w:pPr>
      <w:r>
        <w:rPr>
          <w:rFonts w:ascii="Poppins" w:hAnsi="Poppins" w:eastAsia="Poppins"/>
          <w:b/>
          <w:i w:val="0"/>
          <w:color w:val="0F766E"/>
          <w:sz w:val="26"/>
        </w:rPr>
        <w:t>3. No Assurance, Tax, or Legal Opinion</w:t>
      </w:r>
    </w:p>
    <w:p>
      <w:pPr>
        <w:jc w:val="both"/>
        <w:spacing w:before="0" w:after="80"/>
      </w:pPr>
      <w:r>
        <w:rPr>
          <w:rFonts w:ascii="Inter" w:hAnsi="Inter" w:eastAsia="Inter"/>
          <w:b w:val="0"/>
          <w:i w:val="0"/>
          <w:color w:val="0F172A"/>
          <w:sz w:val="19"/>
        </w:rPr>
        <w:t>Unless separately agreed and legally permitted, this engagement does not include audit, review, assurance, tax advice, tax-return preparation, legal advice, fraud detection, forensic accounting, or independent verification of source information. Client should engage qualified tax and legal professionals for those services.</w:t>
      </w:r>
    </w:p>
    <w:p/>
    <w:p>
      <w:pPr>
        <w:spacing w:before="200" w:after="80"/>
      </w:pPr>
      <w:r>
        <w:rPr>
          <w:rFonts w:ascii="Poppins" w:hAnsi="Poppins" w:eastAsia="Poppins"/>
          <w:b/>
          <w:i w:val="0"/>
          <w:color w:val="0F766E"/>
          <w:sz w:val="26"/>
        </w:rPr>
        <w:t>4. Fees and Payment</w:t>
      </w:r>
    </w:p>
    <w:p>
      <w:pPr>
        <w:jc w:val="both"/>
        <w:spacing w:before="0" w:after="80"/>
      </w:pPr>
      <w:r>
        <w:rPr>
          <w:rFonts w:ascii="Inter" w:hAnsi="Inter" w:eastAsia="Inter"/>
          <w:b w:val="0"/>
          <w:i w:val="0"/>
          <w:color w:val="0F172A"/>
          <w:sz w:val="19"/>
        </w:rPr>
        <w:t>Fees are [AMOUNT/STRUCTURE] as described in the attached Scope of Work. Invoices are due [TERMS]. Work may be suspended for overdue balances after [X] days written notice. Client remains responsible for fees for completed work during any suspension period.</w:t>
      </w:r>
    </w:p>
    <w:p/>
    <w:p>
      <w:pPr>
        <w:spacing w:before="200" w:after="80"/>
      </w:pPr>
      <w:r>
        <w:rPr>
          <w:rFonts w:ascii="Poppins" w:hAnsi="Poppins" w:eastAsia="Poppins"/>
          <w:b/>
          <w:i w:val="0"/>
          <w:color w:val="0F766E"/>
          <w:sz w:val="26"/>
        </w:rPr>
        <w:t>5. Access and Security</w:t>
      </w:r>
    </w:p>
    <w:p>
      <w:pPr>
        <w:jc w:val="both"/>
        <w:spacing w:before="0" w:after="80"/>
      </w:pPr>
      <w:r>
        <w:rPr>
          <w:rFonts w:ascii="Inter" w:hAnsi="Inter" w:eastAsia="Inter"/>
          <w:b w:val="0"/>
          <w:i w:val="0"/>
          <w:color w:val="0F172A"/>
          <w:sz w:val="19"/>
        </w:rPr>
        <w:t>Both parties will maintain reasonable security controls and use role-based software access. Client will not transmit passwords through ordinary email. Each party will promptly notify the other of any suspected unauthorized access to systems or data.</w:t>
      </w:r>
    </w:p>
    <w:p/>
    <w:p>
      <w:pPr>
        <w:spacing w:before="200" w:after="80"/>
      </w:pPr>
      <w:r>
        <w:rPr>
          <w:rFonts w:ascii="Poppins" w:hAnsi="Poppins" w:eastAsia="Poppins"/>
          <w:b/>
          <w:i w:val="0"/>
          <w:color w:val="0F766E"/>
          <w:sz w:val="26"/>
        </w:rPr>
        <w:t>6. Deadlines and Delays</w:t>
      </w:r>
    </w:p>
    <w:p>
      <w:pPr>
        <w:jc w:val="both"/>
        <w:spacing w:before="0" w:after="80"/>
      </w:pPr>
      <w:r>
        <w:rPr>
          <w:rFonts w:ascii="Inter" w:hAnsi="Inter" w:eastAsia="Inter"/>
          <w:b w:val="0"/>
          <w:i w:val="0"/>
          <w:color w:val="0F172A"/>
          <w:sz w:val="19"/>
        </w:rPr>
        <w:t>Delivery dates for reports and close schedules depend on timely receipt of records, responses, and approvals from Client. Client delays may shift the close and reporting dates by an equivalent period without penalty to the Practice.</w:t>
      </w:r>
    </w:p>
    <w:p/>
    <w:p>
      <w:pPr>
        <w:spacing w:before="200" w:after="80"/>
      </w:pPr>
      <w:r>
        <w:rPr>
          <w:rFonts w:ascii="Poppins" w:hAnsi="Poppins" w:eastAsia="Poppins"/>
          <w:b/>
          <w:i w:val="0"/>
          <w:color w:val="0F766E"/>
          <w:sz w:val="26"/>
        </w:rPr>
        <w:t>7. Corrections and Prior Periods</w:t>
      </w:r>
    </w:p>
    <w:p>
      <w:pPr>
        <w:jc w:val="both"/>
        <w:spacing w:before="0" w:after="80"/>
      </w:pPr>
      <w:r>
        <w:rPr>
          <w:rFonts w:ascii="Inter" w:hAnsi="Inter" w:eastAsia="Inter"/>
          <w:b w:val="0"/>
          <w:i w:val="0"/>
          <w:color w:val="0F172A"/>
          <w:sz w:val="19"/>
        </w:rPr>
        <w:t>The Practice may correct bookkeeping errors identified during the engagement at no additional charge. Material prior-period work, cleanup, or adjustments outside the original scope require written approval and additional fees per the Scope of Work.</w:t>
      </w:r>
    </w:p>
    <w:p/>
    <w:p>
      <w:pPr>
        <w:spacing w:before="200" w:after="80"/>
      </w:pPr>
      <w:r>
        <w:rPr>
          <w:rFonts w:ascii="Poppins" w:hAnsi="Poppins" w:eastAsia="Poppins"/>
          <w:b/>
          <w:i w:val="0"/>
          <w:color w:val="0F766E"/>
          <w:sz w:val="26"/>
        </w:rPr>
        <w:t>8. Confidentiality and Privacy</w:t>
      </w:r>
    </w:p>
    <w:p>
      <w:pPr>
        <w:jc w:val="both"/>
        <w:spacing w:before="0" w:after="80"/>
      </w:pPr>
      <w:r>
        <w:rPr>
          <w:rFonts w:ascii="Inter" w:hAnsi="Inter" w:eastAsia="Inter"/>
          <w:b w:val="0"/>
          <w:i w:val="0"/>
          <w:color w:val="0F172A"/>
          <w:sz w:val="19"/>
        </w:rPr>
        <w:t>Each party will protect the other's confidential information using at least reasonable care and will comply with applicable privacy obligations. Data-processing terms required by applicable law may be attached as a schedule to this Agreement.</w:t>
      </w:r>
    </w:p>
    <w:p/>
    <w:p>
      <w:pPr>
        <w:spacing w:before="200" w:after="80"/>
      </w:pPr>
      <w:r>
        <w:rPr>
          <w:rFonts w:ascii="Poppins" w:hAnsi="Poppins" w:eastAsia="Poppins"/>
          <w:b/>
          <w:i w:val="0"/>
          <w:color w:val="0F766E"/>
          <w:sz w:val="26"/>
        </w:rPr>
        <w:t>9. Third-Party Systems</w:t>
      </w:r>
    </w:p>
    <w:p>
      <w:pPr>
        <w:jc w:val="both"/>
        <w:spacing w:before="0" w:after="80"/>
      </w:pPr>
      <w:r>
        <w:rPr>
          <w:rFonts w:ascii="Inter" w:hAnsi="Inter" w:eastAsia="Inter"/>
          <w:b w:val="0"/>
          <w:i w:val="0"/>
          <w:color w:val="0F172A"/>
          <w:sz w:val="19"/>
        </w:rPr>
        <w:t>The Practice is not responsible for outages, data loss, policy changes, fees, or errors caused by banks, accounting software platforms, payroll providers, payment processors, or any other third parties used in delivering services.</w:t>
      </w:r>
    </w:p>
    <w:p/>
    <w:p>
      <w:pPr>
        <w:spacing w:before="200" w:after="80"/>
      </w:pPr>
      <w:r>
        <w:rPr>
          <w:rFonts w:ascii="Poppins" w:hAnsi="Poppins" w:eastAsia="Poppins"/>
          <w:b/>
          <w:i w:val="0"/>
          <w:color w:val="0F766E"/>
          <w:sz w:val="26"/>
        </w:rPr>
        <w:t>10. Records and Retention</w:t>
      </w:r>
    </w:p>
    <w:p>
      <w:pPr>
        <w:jc w:val="both"/>
        <w:spacing w:before="0" w:after="80"/>
      </w:pPr>
      <w:r>
        <w:rPr>
          <w:rFonts w:ascii="Inter" w:hAnsi="Inter" w:eastAsia="Inter"/>
          <w:b w:val="0"/>
          <w:i w:val="0"/>
          <w:color w:val="0F172A"/>
          <w:sz w:val="19"/>
        </w:rPr>
        <w:t>Client owns and is responsible for retaining original source documents for the legally required period. The Practice may retain working files and reports in accordance with its retention policy and applicable professional standards.</w:t>
      </w:r>
    </w:p>
    <w:p/>
    <w:p>
      <w:pPr>
        <w:spacing w:before="200" w:after="80"/>
      </w:pPr>
      <w:r>
        <w:rPr>
          <w:rFonts w:ascii="Poppins" w:hAnsi="Poppins" w:eastAsia="Poppins"/>
          <w:b/>
          <w:i w:val="0"/>
          <w:color w:val="0F766E"/>
          <w:sz w:val="26"/>
        </w:rPr>
        <w:t>11. Termination</w:t>
      </w:r>
    </w:p>
    <w:p>
      <w:pPr>
        <w:jc w:val="both"/>
        <w:spacing w:before="0" w:after="80"/>
      </w:pPr>
      <w:r>
        <w:rPr>
          <w:rFonts w:ascii="Inter" w:hAnsi="Inter" w:eastAsia="Inter"/>
          <w:b w:val="0"/>
          <w:i w:val="0"/>
          <w:color w:val="0F172A"/>
          <w:sz w:val="19"/>
        </w:rPr>
        <w:t>Either party may terminate this Agreement with [NUMBER] days written notice. Client will pay for all completed work, work in progress, and non-cancellable costs incurred before the termination effective date. The Practice will deliver a final report package on termination.</w:t>
      </w:r>
    </w:p>
    <w:p/>
    <w:p>
      <w:pPr>
        <w:spacing w:before="200" w:after="80"/>
      </w:pPr>
      <w:r>
        <w:rPr>
          <w:rFonts w:ascii="Poppins" w:hAnsi="Poppins" w:eastAsia="Poppins"/>
          <w:b/>
          <w:i w:val="0"/>
          <w:color w:val="0F766E"/>
          <w:sz w:val="26"/>
        </w:rPr>
        <w:t>12. Limitation and Dispute Resolution</w:t>
      </w:r>
    </w:p>
    <w:p>
      <w:pPr>
        <w:jc w:val="both"/>
        <w:spacing w:before="0" w:after="80"/>
      </w:pPr>
      <w:r>
        <w:rPr>
          <w:rFonts w:ascii="Inter" w:hAnsi="Inter" w:eastAsia="Inter"/>
          <w:b w:val="0"/>
          <w:i w:val="0"/>
          <w:color w:val="0F172A"/>
          <w:sz w:val="19"/>
        </w:rPr>
        <w:t>Liability limits, governing law, venue, and dispute resolution procedures must be customized for the applicable jurisdiction and reviewed by a qualified lawyer before use. [CUSTOMIZE FOR YOUR JURISDICTION]</w:t>
      </w:r>
    </w:p>
    <w:p/>
    <w:p>
      <w:pPr>
        <w:spacing w:before="200" w:after="80"/>
      </w:pPr>
      <w:r>
        <w:rPr>
          <w:rFonts w:ascii="Poppins" w:hAnsi="Poppins" w:eastAsia="Poppins"/>
          <w:b/>
          <w:i w:val="0"/>
          <w:color w:val="0F766E"/>
          <w:sz w:val="26"/>
        </w:rPr>
        <w:t>13. Entire Agreement</w:t>
      </w:r>
    </w:p>
    <w:p>
      <w:pPr>
        <w:jc w:val="both"/>
        <w:spacing w:before="0" w:after="80"/>
      </w:pPr>
      <w:r>
        <w:rPr>
          <w:rFonts w:ascii="Inter" w:hAnsi="Inter" w:eastAsia="Inter"/>
          <w:b w:val="0"/>
          <w:i w:val="0"/>
          <w:color w:val="0F172A"/>
          <w:sz w:val="19"/>
        </w:rPr>
        <w:t>This Agreement and all attached schedules constitute the entire agreement between the parties regarding the subject matter herein and supersede all prior discussions. Changes require a written amendment signed by authorized representatives of both parties.</w:t>
      </w:r>
    </w:p>
    <w:p/>
    <w:tbl>
      <w:tblPr>
        <w:tblW w:type="auto" w:w="0"/>
        <w:jc w:val="center"/>
        <w:tblLook w:firstColumn="1" w:firstRow="1" w:lastColumn="0" w:lastRow="0" w:noHBand="0" w:noVBand="1" w:val="04A0"/>
      </w:tblPr>
      <w:tblGrid>
        <w:gridCol w:w="9406"/>
      </w:tblGrid>
      <w:tr>
        <w:tc>
          <w:tcPr>
            <w:tcW w:type="dxa" w:w="9406"/>
            <w:shd w:val="clear" w:color="auto" w:fill="0F766E"/>
            <w:tcMar>
              <w:top w:w="100" w:type="dxa"/>
              <w:bottom w:w="100" w:type="dxa"/>
              <w:left w:w="150" w:type="dxa"/>
              <w:right w:w="15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r>
              <w:rPr>
                <w:rFonts w:ascii="Poppins" w:hAnsi="Poppins" w:eastAsia="Poppins"/>
                <w:b/>
                <w:i w:val="0"/>
                <w:color w:val="FFFFFF"/>
                <w:sz w:val="20"/>
              </w:rPr>
              <w:t>SCOPE OF WORK</w:t>
            </w:r>
          </w:p>
        </w:tc>
      </w:tr>
    </w:tbl>
    <w:p>
      <w:pPr>
        <w:spacing w:before="0" w:after="80"/>
      </w:pPr>
    </w:p>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0F766E"/>
            <w:tcMar>
              <w:top w:w="80" w:type="dxa"/>
              <w:bottom w:w="80" w:type="dxa"/>
              <w:left w:w="120" w:type="dxa"/>
              <w:right w:w="120" w:type="dxa"/>
            </w:tcMar>
          </w:tcPr>
          <w:p>
            <w:pPr>
              <w:jc w:val="left"/>
            </w:pPr>
            <w:r>
              <w:rPr>
                <w:rFonts w:ascii="Poppins" w:hAnsi="Poppins" w:eastAsia="Poppins"/>
                <w:b/>
                <w:i w:val="0"/>
                <w:color w:val="FFFFFF"/>
                <w:sz w:val="17"/>
              </w:rPr>
              <w:t>Field</w:t>
            </w:r>
          </w:p>
        </w:tc>
        <w:tc>
          <w:tcPr>
            <w:tcW w:type="dxa" w:w="7370"/>
            <w:shd w:val="clear" w:color="auto" w:fill="0F766E"/>
            <w:tcMar>
              <w:top w:w="80" w:type="dxa"/>
              <w:bottom w:w="80" w:type="dxa"/>
              <w:left w:w="120" w:type="dxa"/>
              <w:right w:w="120" w:type="dxa"/>
            </w:tcMar>
          </w:tcPr>
          <w:p>
            <w:pPr>
              <w:jc w:val="left"/>
            </w:pPr>
            <w:r>
              <w:rPr>
                <w:rFonts w:ascii="Poppins" w:hAnsi="Poppins" w:eastAsia="Poppins"/>
                <w:b/>
                <w:i w:val="0"/>
                <w:color w:val="FFFFFF"/>
                <w:sz w:val="17"/>
              </w:rPr>
              <w:t>Details</w:t>
            </w:r>
          </w:p>
        </w:tc>
      </w:tr>
      <w:tr>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Engagement Start Date</w:t>
            </w:r>
          </w:p>
        </w:tc>
        <w:tc>
          <w:tcPr>
            <w:tcW w:type="dxa" w:w="7370"/>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Bookkeeping Software</w:t>
            </w:r>
          </w:p>
        </w:tc>
        <w:tc>
          <w:tcPr>
            <w:tcW w:type="dxa" w:w="7370"/>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Accounts / Volume Assumption</w:t>
            </w:r>
          </w:p>
        </w:tc>
        <w:tc>
          <w:tcPr>
            <w:tcW w:type="dxa" w:w="7370"/>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Recurring Services</w:t>
            </w:r>
          </w:p>
        </w:tc>
        <w:tc>
          <w:tcPr>
            <w:tcW w:type="dxa" w:w="7370"/>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Excluded Services</w:t>
            </w:r>
          </w:p>
        </w:tc>
        <w:tc>
          <w:tcPr>
            <w:tcW w:type="dxa" w:w="7370"/>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Monthly Fee</w:t>
            </w:r>
          </w:p>
        </w:tc>
        <w:tc>
          <w:tcPr>
            <w:tcW w:type="dxa" w:w="7370"/>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Monthly Close Deadline</w:t>
            </w:r>
          </w:p>
        </w:tc>
        <w:tc>
          <w:tcPr>
            <w:tcW w:type="dxa" w:w="7370"/>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 Primary Contact</w:t>
            </w:r>
          </w:p>
        </w:tc>
        <w:tc>
          <w:tcPr>
            <w:tcW w:type="dxa" w:w="7370"/>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Billing Terms</w:t>
            </w:r>
          </w:p>
        </w:tc>
        <w:tc>
          <w:tcPr>
            <w:tcW w:type="dxa" w:w="7370"/>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9406"/>
      </w:tblGrid>
      <w:tr>
        <w:tc>
          <w:tcPr>
            <w:tcW w:type="dxa" w:w="9406"/>
            <w:shd w:val="clear" w:color="auto" w:fill="0F766E"/>
            <w:tcMar>
              <w:top w:w="100" w:type="dxa"/>
              <w:bottom w:w="100" w:type="dxa"/>
              <w:left w:w="150" w:type="dxa"/>
              <w:right w:w="15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r>
              <w:rPr>
                <w:rFonts w:ascii="Poppins" w:hAnsi="Poppins" w:eastAsia="Poppins"/>
                <w:b/>
                <w:i w:val="0"/>
                <w:color w:val="FFFFFF"/>
                <w:sz w:val="20"/>
              </w:rPr>
              <w:t>SIGNATURES</w:t>
            </w:r>
          </w:p>
        </w:tc>
      </w:tr>
    </w:tbl>
    <w:p>
      <w:pPr>
        <w:spacing w:before="0" w:after="80"/>
      </w:pP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0F766E"/>
            <w:tcMar>
              <w:top w:w="80" w:type="dxa"/>
              <w:bottom w:w="80" w:type="dxa"/>
              <w:left w:w="120" w:type="dxa"/>
              <w:right w:w="120" w:type="dxa"/>
            </w:tcMar>
          </w:tcPr>
          <w:p>
            <w:pPr>
              <w:jc w:val="left"/>
            </w:pPr>
            <w:r>
              <w:rPr>
                <w:rFonts w:ascii="Poppins" w:hAnsi="Poppins" w:eastAsia="Poppins"/>
                <w:b/>
                <w:i w:val="0"/>
                <w:color w:val="FFFFFF"/>
                <w:sz w:val="17"/>
              </w:rPr>
              <w:t>Party</w:t>
            </w:r>
          </w:p>
        </w:tc>
        <w:tc>
          <w:tcPr>
            <w:tcW w:type="dxa" w:w="3402"/>
            <w:shd w:val="clear" w:color="auto" w:fill="0F766E"/>
            <w:tcMar>
              <w:top w:w="80" w:type="dxa"/>
              <w:bottom w:w="80" w:type="dxa"/>
              <w:left w:w="120" w:type="dxa"/>
              <w:right w:w="120" w:type="dxa"/>
            </w:tcMar>
          </w:tcPr>
          <w:p>
            <w:pPr>
              <w:jc w:val="left"/>
            </w:pPr>
            <w:r>
              <w:rPr>
                <w:rFonts w:ascii="Poppins" w:hAnsi="Poppins" w:eastAsia="Poppins"/>
                <w:b/>
                <w:i w:val="0"/>
                <w:color w:val="FFFFFF"/>
                <w:sz w:val="17"/>
              </w:rPr>
              <w:t>Name &amp; Title</w:t>
            </w:r>
          </w:p>
        </w:tc>
        <w:tc>
          <w:tcPr>
            <w:tcW w:type="dxa" w:w="3118"/>
            <w:shd w:val="clear" w:color="auto" w:fill="0F766E"/>
            <w:tcMar>
              <w:top w:w="80" w:type="dxa"/>
              <w:bottom w:w="80" w:type="dxa"/>
              <w:left w:w="120" w:type="dxa"/>
              <w:right w:w="120" w:type="dxa"/>
            </w:tcMar>
          </w:tcPr>
          <w:p>
            <w:pPr>
              <w:jc w:val="left"/>
            </w:pPr>
            <w:r>
              <w:rPr>
                <w:rFonts w:ascii="Poppins" w:hAnsi="Poppins" w:eastAsia="Poppins"/>
                <w:b/>
                <w:i w:val="0"/>
                <w:color w:val="FFFFFF"/>
                <w:sz w:val="17"/>
              </w:rPr>
              <w:t>Signature</w:t>
            </w:r>
          </w:p>
        </w:tc>
        <w:tc>
          <w:tcPr>
            <w:tcW w:type="dxa" w:w="2551"/>
            <w:shd w:val="clear" w:color="auto" w:fill="0F766E"/>
            <w:tcMar>
              <w:top w:w="80" w:type="dxa"/>
              <w:bottom w:w="80" w:type="dxa"/>
              <w:left w:w="120" w:type="dxa"/>
              <w:right w:w="120" w:type="dxa"/>
            </w:tcMar>
          </w:tcPr>
          <w:p>
            <w:pPr>
              <w:jc w:val="left"/>
            </w:pPr>
            <w:r>
              <w:rPr>
                <w:rFonts w:ascii="Poppins" w:hAnsi="Poppins" w:eastAsia="Poppins"/>
                <w:b/>
                <w:i w:val="0"/>
                <w:color w:val="FFFFFF"/>
                <w:sz w:val="17"/>
              </w:rPr>
              <w:t>Date</w:t>
            </w:r>
          </w:p>
        </w:tc>
      </w:tr>
      <w:tr>
        <w:tc>
          <w:tcPr>
            <w:tcW w:type="dxa" w:w="1417"/>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Client</w:t>
            </w:r>
          </w:p>
        </w:tc>
        <w:tc>
          <w:tcPr>
            <w:tcW w:type="dxa" w:w="3402"/>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c>
          <w:tcPr>
            <w:tcW w:type="dxa" w:w="3118"/>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c>
          <w:tcPr>
            <w:tcW w:type="dxa" w:w="2551"/>
            <w:shd w:val="clear" w:color="auto" w:fill="FFFFFF"/>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r>
        <w:tc>
          <w:tcPr>
            <w:tcW w:type="dxa" w:w="1417"/>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w:t>
            </w:r>
          </w:p>
        </w:tc>
        <w:tc>
          <w:tcPr>
            <w:tcW w:type="dxa" w:w="3402"/>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t>[PRACTICE NAME]</w:t>
            </w:r>
          </w:p>
        </w:tc>
        <w:tc>
          <w:tcPr>
            <w:tcW w:type="dxa" w:w="3118"/>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c>
          <w:tcPr>
            <w:tcW w:type="dxa" w:w="2551"/>
            <w:shd w:val="clear" w:color="auto" w:fill="F8FAFC"/>
            <w:tcBorders>
              <w:top w:val="single" w:sz="4" w:space="0" w:color="E2E8F0"/>
              <w:bottom w:val="single" w:sz="4" w:space="0" w:color="E2E8F0"/>
              <w:left w:val="single" w:sz="4" w:space="0" w:color="E2E8F0"/>
              <w:right w:val="single" w:sz="4" w:space="0" w:color="E2E8F0"/>
            </w:tcBorders>
            <w:tcMar>
              <w:top w:w="60" w:type="dxa"/>
              <w:bottom w:w="60" w:type="dxa"/>
              <w:left w:w="120" w:type="dxa"/>
              <w:right w:w="120" w:type="dxa"/>
            </w:tcMar>
          </w:tcPr>
          <w:p>
            <w:r>
              <w:rPr>
                <w:rFonts w:ascii="Inter" w:hAnsi="Inter" w:eastAsia="Inter"/>
                <w:b w:val="0"/>
                <w:i w:val="0"/>
                <w:color w:val="0F172A"/>
                <w:sz w:val="17"/>
              </w:rPr>
            </w:r>
          </w:p>
        </w:tc>
      </w:tr>
    </w:tbl>
    <w:p>
      <w:pPr>
        <w:spacing w:before="0" w:after="120"/>
      </w:pPr>
    </w:p>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0" w:type="dxa"/>
            <w:right w:w="6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jc w:val="left"/>
          </w:pPr>
          <w:r>
            <w:rPr>
              <w:rFonts w:ascii="Inter" w:hAnsi="Inter" w:eastAsia="Inter"/>
              <w:b w:val="0"/>
              <w:i w:val="0"/>
              <w:color w:val="64748B"/>
              <w:sz w:val="15"/>
            </w:rPr>
            <w:t>© 2025 Bookkeeper Practice Launch System v2.0  ·  Commercial Use License</w:t>
          </w:r>
        </w:p>
      </w:tc>
      <w:tc>
        <w:tcPr>
          <w:tcW w:type="dxa" w:w="4680"/>
          <w:tcMar>
            <w:top w:w="60" w:type="dxa"/>
            <w:bottom w:w="60" w:type="dxa"/>
            <w:left w:w="60" w:type="dxa"/>
            <w:right w:w="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jc w:val="right"/>
          </w:pPr>
          <w:r>
            <w:rPr>
              <w:rFonts w:ascii="Inter" w:hAnsi="Inter" w:eastAsia="Inter"/>
              <w:b/>
              <w:i w:val="0"/>
              <w:color w:val="0F766E"/>
              <w:sz w:val="15"/>
            </w:rPr>
            <w:t xml:space="preserve">Page </w:t>
          </w:r>
          <w:r>
            <w:rPr>
              <w:rFonts w:ascii="Inter" w:hAnsi="Inter" w:eastAsia="Inter"/>
              <w:b w:val="0"/>
              <w:i w:val="0"/>
              <w:color w:val="64748B"/>
              <w:sz w:val="16"/>
            </w:rPr>
            <w:fldChar w:fldCharType="begin"/>
            <w:instrText>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80"/>
      <w:gridCol w:w="4680"/>
    </w:tblGrid>
    <w:tr>
      <w:tc>
        <w:tcPr>
          <w:tcW w:type="dxa" w:w="4680"/>
          <w:shd w:val="clear" w:color="auto" w:fill="0F172A"/>
          <w:tcMar>
            <w:top w:w="80" w:type="dxa"/>
            <w:bottom w:w="80" w:type="dxa"/>
            <w:left w:w="150" w:type="dxa"/>
            <w:right w:w="8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jc w:val="left"/>
          </w:pPr>
          <w:r>
            <w:rPr>
              <w:rFonts w:ascii="Poppins" w:hAnsi="Poppins" w:eastAsia="Poppins"/>
              <w:b/>
              <w:i w:val="0"/>
              <w:color w:val="FFFFFF"/>
              <w:sz w:val="17"/>
            </w:rPr>
            <w:t>BOOKKEEPER PRACTICE LAUNCH SYSTEM</w:t>
          </w:r>
        </w:p>
      </w:tc>
      <w:tc>
        <w:tcPr>
          <w:tcW w:type="dxa" w:w="4680"/>
          <w:shd w:val="clear" w:color="auto" w:fill="0F766E"/>
          <w:tcMar>
            <w:top w:w="80" w:type="dxa"/>
            <w:bottom w:w="80" w:type="dxa"/>
            <w:left w:w="80" w:type="dxa"/>
            <w:right w:w="150" w:type="dxa"/>
          </w:tcMar>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jc w:val="right"/>
          </w:pPr>
          <w:r>
            <w:rPr>
              <w:rFonts w:ascii="Poppins" w:hAnsi="Poppins" w:eastAsia="Poppins"/>
              <w:b/>
              <w:i w:val="0"/>
              <w:color w:val="FFFFFF"/>
              <w:sz w:val="17"/>
            </w:rPr>
            <w:t>Bookkeeping Engagement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