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172A"/>
            <w:tcMar>
              <w:top w:w="600" w:type="dxa"/>
              <w:bottom w:w="600" w:type="dxa"/>
              <w:left w:w="600" w:type="dxa"/>
              <w:right w:w="600" w:type="dxa"/>
            </w:tcMar>
            <w:vAlign w:val="center"/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/>
          <w:p>
            <w:pPr>
              <w:jc w:val="left"/>
              <w:spacing w:before="0" w:after="360"/>
            </w:pPr>
            <w:r>
              <w:rPr>
                <w:rFonts w:ascii="Poppins" w:hAnsi="Poppins" w:eastAsia="Poppins"/>
                <w:b/>
                <w:i w:val="0"/>
                <w:color w:val="0F766E"/>
                <w:sz w:val="16"/>
              </w:rPr>
              <w:t>03 — CLIENT DOCUMENTS</w:t>
            </w:r>
          </w:p>
          <w:p>
            <w:pPr>
              <w:jc w:val="left"/>
              <w:spacing w:before="0" w:after="240"/>
            </w:pPr>
            <w:r>
              <w:rPr>
                <w:rFonts w:ascii="Poppins" w:hAnsi="Poppins" w:eastAsia="Poppins"/>
                <w:b/>
                <w:i w:val="0"/>
                <w:color w:val="FFFFFF"/>
                <w:sz w:val="56"/>
              </w:rPr>
              <w:t>Bookkeeping Service Guide</w:t>
            </w:r>
          </w:p>
          <w:p>
            <w:pPr>
              <w:jc w:val="left"/>
              <w:spacing w:before="0" w:after="720"/>
            </w:pPr>
            <w:r>
              <w:rPr>
                <w:rFonts w:ascii="Inter" w:hAnsi="Inter" w:eastAsia="Inter"/>
                <w:b w:val="0"/>
                <w:i w:val="0"/>
                <w:color w:val="94A3B8"/>
                <w:sz w:val="24"/>
              </w:rPr>
              <w:t>Your complete guide to our services, packages, and process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9406"/>
            </w:tblGrid>
            <w:tr>
              <w:tc>
                <w:tcPr>
                  <w:tcW w:type="dxa" w:w="9406"/>
                  <w:shd w:val="clear" w:color="auto" w:fill="0F766E"/>
                  <w:tcMar>
                    <w:top w:w="20" w:type="dxa"/>
                    <w:bottom w:w="20" w:type="dxa"/>
                    <w:left w:w="0" w:type="dxa"/>
                    <w:right w:w="0" w:type="dxa"/>
                  </w:tcMar>
                  <w:tcBorders>
                    <w:top w:val="none" w:sz="0" w:space="0" w:color="auto"/>
                    <w:bottom w:val="none" w:sz="0" w:space="0" w:color="auto"/>
                    <w:left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</w:tcBorders>
                </w:tcPr>
                <w:p>
                  <w:r>
                    <w:t xml:space="preserve"> </w:t>
                  </w:r>
                </w:p>
              </w:tc>
            </w:tr>
          </w:tbl>
          <w:p/>
          <w:p>
            <w:pPr>
              <w:spacing w:before="480" w:after="0"/>
              <w:jc w:val="left"/>
            </w:pPr>
            <w:r>
              <w:rPr>
                <w:rFonts w:ascii="Poppins" w:hAnsi="Poppins" w:eastAsia="Poppins"/>
                <w:b/>
                <w:i w:val="0"/>
                <w:color w:val="D97706"/>
                <w:sz w:val="16"/>
              </w:rPr>
              <w:t>VERSION v2.0  ·  2025  ·  PREMIUM EDITION</w:t>
            </w:r>
          </w:p>
          <w:p>
            <w:pPr>
              <w:spacing w:before="1200" w:after="0"/>
              <w:jc w:val="left"/>
            </w:pPr>
            <w:r>
              <w:rPr>
                <w:rFonts w:ascii="Inter" w:hAnsi="Inter" w:eastAsia="Inter"/>
                <w:b w:val="0"/>
                <w:i w:val="0"/>
                <w:color w:val="475569"/>
                <w:sz w:val="15"/>
              </w:rPr>
              <w:t>Bookkeeper Practice Launch System  ·  Single-Practice Commercial Use License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3C7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2" w:space="0" w:color="D97706"/>
            </w:tcBorders>
            <w:tcBorders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  <w:p>
            <w:pPr>
              <w:spacing w:before="0" w:after="80"/>
            </w:pPr>
            <w:r>
              <w:rPr>
                <w:rFonts w:ascii="Poppins" w:hAnsi="Poppins" w:eastAsia="Poppins"/>
                <w:b/>
                <w:i w:val="0"/>
                <w:color w:val="D97706"/>
                <w:sz w:val="19"/>
              </w:rPr>
              <w:t>Customization Required</w:t>
            </w:r>
          </w:p>
          <w:p>
            <w:pPr>
              <w:spacing w:before="0" w:after="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8"/>
              </w:rPr>
              <w:t>Replace all [BRACKETED TEXT] with your practice details before sending to clients. This is a client-facing document.</w:t>
            </w:r>
          </w:p>
        </w:tc>
      </w:tr>
    </w:tbl>
    <w:p>
      <w:pPr>
        <w:spacing w:before="0" w:after="120"/>
      </w:pPr>
    </w:p>
    <w:p/>
    <w:p>
      <w:pPr>
        <w:spacing w:before="240" w:after="120"/>
      </w:pPr>
      <w:r>
        <w:rPr>
          <w:rFonts w:ascii="Poppins" w:hAnsi="Poppins" w:eastAsia="Poppins"/>
          <w:b/>
          <w:i w:val="0"/>
          <w:color w:val="0F172A"/>
          <w:sz w:val="36"/>
        </w:rPr>
        <w:t>What Monthly Bookkeeping Includes</w:t>
      </w:r>
    </w:p>
    <w:p>
      <w:pPr>
        <w:jc w:val="both"/>
        <w:spacing w:before="0" w:after="80"/>
      </w:pPr>
      <w:r>
        <w:rPr>
          <w:rFonts w:ascii="Inter" w:hAnsi="Inter" w:eastAsia="Inter"/>
          <w:b w:val="0"/>
          <w:i w:val="0"/>
          <w:color w:val="0F172A"/>
          <w:sz w:val="19"/>
        </w:rPr>
        <w:t>Every monthly bookkeeping engagement with [PRACTICE NAME] includes the following core services:</w:t>
      </w:r>
    </w:p>
    <w:p>
      <w:pPr>
        <w:pStyle w:val="ListBullet"/>
        <w:spacing w:before="0" w:after="40"/>
      </w:pPr>
      <w:r>
        <w:rPr>
          <w:rFonts w:ascii="Inter" w:hAnsi="Inter" w:eastAsia="Inter"/>
          <w:b w:val="0"/>
          <w:i w:val="0"/>
          <w:color w:val="0F172A"/>
          <w:sz w:val="19"/>
        </w:rPr>
        <w:t>Transaction categorization and ledger review</w:t>
      </w:r>
    </w:p>
    <w:p>
      <w:pPr>
        <w:pStyle w:val="ListBullet"/>
        <w:spacing w:before="0" w:after="40"/>
      </w:pPr>
      <w:r>
        <w:rPr>
          <w:rFonts w:ascii="Inter" w:hAnsi="Inter" w:eastAsia="Inter"/>
          <w:b w:val="0"/>
          <w:i w:val="0"/>
          <w:color w:val="0F172A"/>
          <w:sz w:val="19"/>
        </w:rPr>
        <w:t>Bank and credit-card reconciliations for all accounts</w:t>
      </w:r>
    </w:p>
    <w:p>
      <w:pPr>
        <w:pStyle w:val="ListBullet"/>
        <w:spacing w:before="0" w:after="40"/>
      </w:pPr>
      <w:r>
        <w:rPr>
          <w:rFonts w:ascii="Inter" w:hAnsi="Inter" w:eastAsia="Inter"/>
          <w:b w:val="0"/>
          <w:i w:val="0"/>
          <w:color w:val="0F172A"/>
          <w:sz w:val="19"/>
        </w:rPr>
        <w:t>Balance-sheet account review and cleanup</w:t>
      </w:r>
    </w:p>
    <w:p>
      <w:pPr>
        <w:pStyle w:val="ListBullet"/>
        <w:spacing w:before="0" w:after="40"/>
      </w:pPr>
      <w:r>
        <w:rPr>
          <w:rFonts w:ascii="Inter" w:hAnsi="Inter" w:eastAsia="Inter"/>
          <w:b w:val="0"/>
          <w:i w:val="0"/>
          <w:color w:val="0F172A"/>
          <w:sz w:val="19"/>
        </w:rPr>
        <w:t>Monthly financial statements (Profit &amp; Loss and Balance Sheet)</w:t>
      </w:r>
    </w:p>
    <w:p>
      <w:pPr>
        <w:pStyle w:val="ListBullet"/>
        <w:spacing w:before="0" w:after="40"/>
      </w:pPr>
      <w:r>
        <w:rPr>
          <w:rFonts w:ascii="Inter" w:hAnsi="Inter" w:eastAsia="Inter"/>
          <w:b w:val="0"/>
          <w:i w:val="0"/>
          <w:color w:val="0F172A"/>
          <w:sz w:val="19"/>
        </w:rPr>
        <w:t>Exception log and missing-document requests</w:t>
      </w:r>
    </w:p>
    <w:p>
      <w:pPr>
        <w:pStyle w:val="ListBullet"/>
        <w:spacing w:before="0" w:after="40"/>
      </w:pPr>
      <w:r>
        <w:rPr>
          <w:rFonts w:ascii="Inter" w:hAnsi="Inter" w:eastAsia="Inter"/>
          <w:b w:val="0"/>
          <w:i w:val="0"/>
          <w:color w:val="0F172A"/>
          <w:sz w:val="19"/>
        </w:rPr>
        <w:t>Agreed monthly communication and close cadence</w:t>
      </w:r>
    </w:p>
    <w:p>
      <w:pPr>
        <w:pStyle w:val="ListBullet"/>
        <w:spacing w:before="0" w:after="40"/>
      </w:pPr>
      <w:r>
        <w:rPr>
          <w:rFonts w:ascii="Inter" w:hAnsi="Inter" w:eastAsia="Inter"/>
          <w:b w:val="0"/>
          <w:i w:val="0"/>
          <w:color w:val="0F172A"/>
          <w:sz w:val="19"/>
        </w:rPr>
        <w:t>Secure document delivery via client portal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766E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20"/>
              </w:rPr>
              <w:t>SERVICE PACKAGES</w:t>
            </w:r>
          </w:p>
        </w:tc>
      </w:tr>
    </w:tbl>
    <w:p>
      <w:pPr>
        <w:spacing w:before="0" w:after="80"/>
      </w:pP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Package</w:t>
            </w:r>
          </w:p>
        </w:tc>
        <w:tc>
          <w:tcPr>
            <w:tcW w:type="dxa" w:w="3118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Typical Scope</w:t>
            </w:r>
          </w:p>
        </w:tc>
        <w:tc>
          <w:tcPr>
            <w:tcW w:type="dxa" w:w="3685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Includes</w:t>
            </w:r>
          </w:p>
        </w:tc>
        <w:tc>
          <w:tcPr>
            <w:tcW w:type="dxa" w:w="1701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Starting Price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Essentials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Up to [X] accounts and [X] monthly transactions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Monthly P&amp;L, Balance Sheet, and bank reconciliations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€[ ] / month</w:t>
            </w:r>
          </w:p>
        </w:tc>
      </w:tr>
      <w:tr>
        <w:tc>
          <w:tcPr>
            <w:tcW w:type="dxa" w:w="198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Growth</w:t>
            </w:r>
          </w:p>
        </w:tc>
        <w:tc>
          <w:tcPr>
            <w:tcW w:type="dxa" w:w="311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Higher volume, class or location tracking</w:t>
            </w:r>
          </w:p>
        </w:tc>
        <w:tc>
          <w:tcPr>
            <w:tcW w:type="dxa" w:w="3685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All Essentials + monthly review call and cash summary</w:t>
            </w:r>
          </w:p>
        </w:tc>
        <w:tc>
          <w:tcPr>
            <w:tcW w:type="dxa" w:w="1701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€[ ] / month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Advanced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Multi-entity or complex workflows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All Growth + custom reporting and priority support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€[ ] / month</w:t>
            </w:r>
          </w:p>
        </w:tc>
      </w:tr>
      <w:tr>
        <w:tc>
          <w:tcPr>
            <w:tcW w:type="dxa" w:w="198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Tax Ready Add-On</w:t>
            </w:r>
          </w:p>
        </w:tc>
        <w:tc>
          <w:tcPr>
            <w:tcW w:type="dxa" w:w="311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Year-end package preparation</w:t>
            </w:r>
          </w:p>
        </w:tc>
        <w:tc>
          <w:tcPr>
            <w:tcW w:type="dxa" w:w="3685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Tax document checklist + preparer coordination</w:t>
            </w:r>
          </w:p>
        </w:tc>
        <w:tc>
          <w:tcPr>
            <w:tcW w:type="dxa" w:w="1701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€[ ] / year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766E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20"/>
              </w:rPr>
              <w:t>OPTIONAL PROJECT SERVICES</w:t>
            </w:r>
          </w:p>
        </w:tc>
      </w:tr>
    </w:tbl>
    <w:p>
      <w:pPr>
        <w:spacing w:before="0" w:after="80"/>
      </w:pP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35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Service</w:t>
            </w:r>
          </w:p>
        </w:tc>
        <w:tc>
          <w:tcPr>
            <w:tcW w:type="dxa" w:w="4252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Description</w:t>
            </w:r>
          </w:p>
        </w:tc>
        <w:tc>
          <w:tcPr>
            <w:tcW w:type="dxa" w:w="3402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Pricing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Catch-up / Cleanup Bookkeeping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Bring overdue or disorganized books current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Quote after diagnostic</w:t>
            </w:r>
          </w:p>
        </w:tc>
      </w:tr>
      <w:tr>
        <w:tc>
          <w:tcPr>
            <w:tcW w:type="dxa" w:w="2835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Historical Reconciliations</w:t>
            </w:r>
          </w:p>
        </w:tc>
        <w:tc>
          <w:tcPr>
            <w:tcW w:type="dxa" w:w="425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Reconcile prior months or years</w:t>
            </w:r>
          </w:p>
        </w:tc>
        <w:tc>
          <w:tcPr>
            <w:tcW w:type="dxa" w:w="340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Quote after diagnostic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Chart-of-Accounts Redesign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Rebuild your account structure for clarity and reporting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Fixed fee: €[ ]</w:t>
            </w:r>
          </w:p>
        </w:tc>
      </w:tr>
      <w:tr>
        <w:tc>
          <w:tcPr>
            <w:tcW w:type="dxa" w:w="2835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Software Migration &amp; Setup</w:t>
            </w:r>
          </w:p>
        </w:tc>
        <w:tc>
          <w:tcPr>
            <w:tcW w:type="dxa" w:w="425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Move from one platform to another (e.g., Wave to QBO)</w:t>
            </w:r>
          </w:p>
        </w:tc>
        <w:tc>
          <w:tcPr>
            <w:tcW w:type="dxa" w:w="3402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Quote per project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Accounts Payable / Receivable Support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Invoice management and payment tracking assistance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€[ ] / month add-on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766E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20"/>
              </w:rPr>
              <w:t>WHAT IS NOT INCLUDED</w:t>
            </w:r>
          </w:p>
        </w:tc>
      </w:tr>
    </w:tbl>
    <w:p>
      <w:pPr>
        <w:spacing w:before="0" w:after="80"/>
      </w:pP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EF2F2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2" w:space="0" w:color="EF4444"/>
            </w:tcBorders>
            <w:tcBorders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  <w:p>
            <w:pPr>
              <w:spacing w:before="0" w:after="80"/>
            </w:pPr>
            <w:r>
              <w:rPr>
                <w:rFonts w:ascii="Poppins" w:hAnsi="Poppins" w:eastAsia="Poppins"/>
                <w:b/>
                <w:i w:val="0"/>
                <w:color w:val="EF4444"/>
                <w:sz w:val="19"/>
              </w:rPr>
              <w:t>Service Boundaries</w:t>
            </w:r>
          </w:p>
          <w:p>
            <w:pPr>
              <w:spacing w:before="0" w:after="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8"/>
              </w:rPr>
              <w:t>The following services are outside the scope of bookkeeping unless separately contracted and legally permitted in your jurisdiction: tax advice and returns, audit and assurance services, payroll processing, legal advice, regulatory compliance guidance, CFO or controller services.</w:t>
            </w:r>
          </w:p>
        </w:tc>
      </w:tr>
    </w:tbl>
    <w:p>
      <w:pPr>
        <w:spacing w:before="0" w:after="120"/>
      </w:pP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766E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20"/>
              </w:rPr>
              <w:t>CLIENT RESPONSIBILITIES</w:t>
            </w:r>
          </w:p>
        </w:tc>
      </w:tr>
    </w:tbl>
    <w:p>
      <w:pPr>
        <w:spacing w:before="0" w:after="80"/>
      </w:pPr>
    </w:p>
    <w:p/>
    <w:p>
      <w:pPr>
        <w:jc w:val="both"/>
        <w:spacing w:before="0" w:after="80"/>
      </w:pPr>
      <w:r>
        <w:rPr>
          <w:rFonts w:ascii="Inter" w:hAnsi="Inter" w:eastAsia="Inter"/>
          <w:b w:val="0"/>
          <w:i w:val="0"/>
          <w:color w:val="0F172A"/>
          <w:sz w:val="19"/>
        </w:rPr>
        <w:t>A successful engagement depends on your active participation. Clients are responsible for:</w:t>
      </w:r>
    </w:p>
    <w:p>
      <w:pPr>
        <w:pStyle w:val="ListBullet"/>
        <w:spacing w:before="0" w:after="40"/>
      </w:pPr>
      <w:r>
        <w:rPr>
          <w:rFonts w:ascii="Inter" w:hAnsi="Inter" w:eastAsia="Inter"/>
          <w:b w:val="0"/>
          <w:i w:val="0"/>
          <w:color w:val="0F172A"/>
          <w:sz w:val="19"/>
        </w:rPr>
        <w:t>Providing complete and accurate records by the agreed deadline each month</w:t>
      </w:r>
    </w:p>
    <w:p>
      <w:pPr>
        <w:pStyle w:val="ListBullet"/>
        <w:spacing w:before="0" w:after="40"/>
      </w:pPr>
      <w:r>
        <w:rPr>
          <w:rFonts w:ascii="Inter" w:hAnsi="Inter" w:eastAsia="Inter"/>
          <w:b w:val="0"/>
          <w:i w:val="0"/>
          <w:color w:val="0F172A"/>
          <w:sz w:val="19"/>
        </w:rPr>
        <w:t>Maintaining secure account access and approving role-based software invitations</w:t>
      </w:r>
    </w:p>
    <w:p>
      <w:pPr>
        <w:pStyle w:val="ListBullet"/>
        <w:spacing w:before="0" w:after="40"/>
      </w:pPr>
      <w:r>
        <w:rPr>
          <w:rFonts w:ascii="Inter" w:hAnsi="Inter" w:eastAsia="Inter"/>
          <w:b w:val="0"/>
          <w:i w:val="0"/>
          <w:color w:val="0F172A"/>
          <w:sz w:val="19"/>
        </w:rPr>
        <w:t>Answering transaction questions promptly (within [X] business days)</w:t>
      </w:r>
    </w:p>
    <w:p>
      <w:pPr>
        <w:pStyle w:val="ListBullet"/>
        <w:spacing w:before="0" w:after="40"/>
      </w:pPr>
      <w:r>
        <w:rPr>
          <w:rFonts w:ascii="Inter" w:hAnsi="Inter" w:eastAsia="Inter"/>
          <w:b w:val="0"/>
          <w:i w:val="0"/>
          <w:color w:val="0F172A"/>
          <w:sz w:val="19"/>
        </w:rPr>
        <w:t>Retaining original source documents for the required period</w:t>
      </w:r>
    </w:p>
    <w:p>
      <w:pPr>
        <w:pStyle w:val="ListBullet"/>
        <w:spacing w:before="0" w:after="40"/>
      </w:pPr>
      <w:r>
        <w:rPr>
          <w:rFonts w:ascii="Inter" w:hAnsi="Inter" w:eastAsia="Inter"/>
          <w:b w:val="0"/>
          <w:i w:val="0"/>
          <w:color w:val="0F172A"/>
          <w:sz w:val="19"/>
        </w:rPr>
        <w:t>Reviewing reports and notifying us of errors or material events</w:t>
      </w:r>
    </w:p>
    <w:p>
      <w:pPr>
        <w:pStyle w:val="ListBullet"/>
        <w:spacing w:before="0" w:after="40"/>
      </w:pPr>
      <w:r>
        <w:rPr>
          <w:rFonts w:ascii="Inter" w:hAnsi="Inter" w:eastAsia="Inter"/>
          <w:b w:val="0"/>
          <w:i w:val="0"/>
          <w:color w:val="0F172A"/>
          <w:sz w:val="19"/>
        </w:rPr>
        <w:t>Working with a qualified tax professional for tax advice and filings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766E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20"/>
              </w:rPr>
              <w:t>MONTHLY TIMELINE</w:t>
            </w:r>
          </w:p>
        </w:tc>
      </w:tr>
    </w:tbl>
    <w:p>
      <w:pPr>
        <w:spacing w:before="0" w:after="80"/>
      </w:pP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Day of Month</w:t>
            </w:r>
          </w:p>
        </w:tc>
        <w:tc>
          <w:tcPr>
            <w:tcW w:type="dxa" w:w="6236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Activity</w:t>
            </w:r>
          </w:p>
        </w:tc>
        <w:tc>
          <w:tcPr>
            <w:tcW w:type="dxa" w:w="2268"/>
            <w:shd w:val="clear" w:color="auto" w:fill="0F766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Poppins" w:hAnsi="Poppins" w:eastAsia="Poppins"/>
                <w:b/>
                <w:i w:val="0"/>
                <w:color w:val="FFFFFF"/>
                <w:sz w:val="17"/>
              </w:rPr>
              <w:t>Who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Days 1–5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Client provides bank statements, payroll reports, loan records, and missing documents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Client</w:t>
            </w:r>
          </w:p>
        </w:tc>
      </w:tr>
      <w:tr>
        <w:tc>
          <w:tcPr>
            <w:tcW w:type="dxa" w:w="198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Days 5–12</w:t>
            </w:r>
          </w:p>
        </w:tc>
        <w:tc>
          <w:tcPr>
            <w:tcW w:type="dxa" w:w="623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Bookkeeper imports transactions, categorizes, reconciles, and raises questions</w:t>
            </w:r>
          </w:p>
        </w:tc>
        <w:tc>
          <w:tcPr>
            <w:tcW w:type="dxa" w:w="226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Bookkeeper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Days 12–18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Client answers questions; bookkeeper completes review and adjusting entries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Both</w:t>
            </w:r>
          </w:p>
        </w:tc>
      </w:tr>
      <w:tr>
        <w:tc>
          <w:tcPr>
            <w:tcW w:type="dxa" w:w="1984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By Day [X]</w:t>
            </w:r>
          </w:p>
        </w:tc>
        <w:tc>
          <w:tcPr>
            <w:tcW w:type="dxa" w:w="6236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Reports and action summary delivered through the secure portal</w:t>
            </w:r>
          </w:p>
        </w:tc>
        <w:tc>
          <w:tcPr>
            <w:tcW w:type="dxa" w:w="2268"/>
            <w:shd w:val="clear" w:color="auto"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r>
              <w:rPr>
                <w:rFonts w:ascii="Inter" w:hAnsi="Inter" w:eastAsia="Inter"/>
                <w:b w:val="0"/>
                <w:i w:val="0"/>
                <w:color w:val="0F172A"/>
                <w:sz w:val="17"/>
              </w:rPr>
              <w:t>Bookkeeper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0F766E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 w:sz="0" w:space="0" w:color="auto"/>
              <w:bottom w:val="none" w:sz="0" w:space="0" w:color="auto"/>
              <w:left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>
            <w:r>
              <w:rPr>
                <w:rFonts w:ascii="Poppins" w:hAnsi="Poppins" w:eastAsia="Poppins"/>
                <w:b/>
                <w:i w:val="0"/>
                <w:color w:val="FFFFFF"/>
                <w:sz w:val="20"/>
              </w:rPr>
              <w:t>SECURITY &amp; ACCESS</w:t>
            </w:r>
          </w:p>
        </w:tc>
      </w:tr>
    </w:tbl>
    <w:p>
      <w:pPr>
        <w:spacing w:before="0" w:after="80"/>
      </w:pP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CCFBF1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12" w:space="0" w:color="0F766E"/>
            </w:tcBorders>
            <w:tcBorders>
              <w:top w:val="single" w:sz="4" w:space="0" w:color="E2E8F0"/>
              <w:bottom w:val="single" w:sz="4" w:space="0" w:color="E2E8F0"/>
              <w:right w:val="single" w:sz="4" w:space="0" w:color="E2E8F0"/>
            </w:tcBorders>
          </w:tcPr>
          <w:p/>
          <w:p>
            <w:pPr>
              <w:spacing w:before="0" w:after="80"/>
            </w:pPr>
            <w:r>
              <w:rPr>
                <w:rFonts w:ascii="Poppins" w:hAnsi="Poppins" w:eastAsia="Poppins"/>
                <w:b/>
                <w:i w:val="0"/>
                <w:color w:val="0F766E"/>
                <w:sz w:val="19"/>
              </w:rPr>
              <w:t>Your Data Is Secure</w:t>
            </w:r>
          </w:p>
          <w:p>
            <w:pPr>
              <w:spacing w:before="0" w:after="0"/>
            </w:pPr>
            <w:r>
              <w:rPr>
                <w:rFonts w:ascii="Inter" w:hAnsi="Inter" w:eastAsia="Inter"/>
                <w:b w:val="0"/>
                <w:i w:val="0"/>
                <w:color w:val="0F172A"/>
                <w:sz w:val="18"/>
              </w:rPr>
              <w:t>We use secure client portals, read-only accountant access, and approved password managers. We will never ask you to share banking passwords by email. All document exchange happens through your secure portal at [PORTAL LINK].</w:t>
            </w:r>
          </w:p>
        </w:tc>
      </w:tr>
    </w:tbl>
    <w:p>
      <w:pPr>
        <w:spacing w:before="0"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Mar>
            <w:top w:w="60" w:type="dxa"/>
            <w:bottom w:w="60" w:type="dxa"/>
            <w:left w:w="0" w:type="dxa"/>
            <w:right w:w="60" w:type="dxa"/>
          </w:tcMar>
          <w:tcBorders>
            <w:top w:val="none" w:sz="0" w:space="0" w:color="auto"/>
            <w:bottom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cBorders>
        </w:tcPr>
        <w:p>
          <w:pPr>
            <w:jc w:val="left"/>
          </w:pPr>
          <w:r>
            <w:rPr>
              <w:rFonts w:ascii="Inter" w:hAnsi="Inter" w:eastAsia="Inter"/>
              <w:b w:val="0"/>
              <w:i w:val="0"/>
              <w:color w:val="64748B"/>
              <w:sz w:val="15"/>
            </w:rPr>
            <w:t>© 2025 Bookkeeper Practice Launch System v2.0  ·  Commercial Use License</w:t>
          </w:r>
        </w:p>
      </w:tc>
      <w:tc>
        <w:tcPr>
          <w:tcW w:type="dxa" w:w="4680"/>
          <w:tcMar>
            <w:top w:w="60" w:type="dxa"/>
            <w:bottom w:w="60" w:type="dxa"/>
            <w:left w:w="60" w:type="dxa"/>
            <w:right w:w="0" w:type="dxa"/>
          </w:tcMar>
          <w:tcBorders>
            <w:top w:val="none" w:sz="0" w:space="0" w:color="auto"/>
            <w:bottom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cBorders>
        </w:tcPr>
        <w:p>
          <w:pPr>
            <w:jc w:val="right"/>
          </w:pPr>
          <w:r>
            <w:rPr>
              <w:rFonts w:ascii="Inter" w:hAnsi="Inter" w:eastAsia="Inter"/>
              <w:b/>
              <w:i w:val="0"/>
              <w:color w:val="0F766E"/>
              <w:sz w:val="15"/>
            </w:rPr>
            <w:t xml:space="preserve">Page </w:t>
          </w:r>
          <w:r>
            <w:rPr>
              <w:rFonts w:ascii="Inter" w:hAnsi="Inter" w:eastAsia="Inter"/>
              <w:b w:val="0"/>
              <w:i w:val="0"/>
              <w:color w:val="64748B"/>
              <w:sz w:val="16"/>
            </w:rPr>
            <w:fldChar w:fldCharType="begin"/>
            <w:instrText>PAGE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shd w:val="clear" w:color="auto" w:fill="0F172A"/>
          <w:tcMar>
            <w:top w:w="80" w:type="dxa"/>
            <w:bottom w:w="80" w:type="dxa"/>
            <w:left w:w="150" w:type="dxa"/>
            <w:right w:w="80" w:type="dxa"/>
          </w:tcMar>
          <w:tcBorders>
            <w:top w:val="none" w:sz="0" w:space="0" w:color="auto"/>
            <w:bottom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cBorders>
        </w:tcPr>
        <w:p>
          <w:pPr>
            <w:jc w:val="left"/>
          </w:pPr>
          <w:r>
            <w:rPr>
              <w:rFonts w:ascii="Poppins" w:hAnsi="Poppins" w:eastAsia="Poppins"/>
              <w:b/>
              <w:i w:val="0"/>
              <w:color w:val="FFFFFF"/>
              <w:sz w:val="17"/>
            </w:rPr>
            <w:t>BOOKKEEPER PRACTICE LAUNCH SYSTEM</w:t>
          </w:r>
        </w:p>
      </w:tc>
      <w:tc>
        <w:tcPr>
          <w:tcW w:type="dxa" w:w="4680"/>
          <w:shd w:val="clear" w:color="auto" w:fill="0F766E"/>
          <w:tcMar>
            <w:top w:w="80" w:type="dxa"/>
            <w:bottom w:w="80" w:type="dxa"/>
            <w:left w:w="80" w:type="dxa"/>
            <w:right w:w="150" w:type="dxa"/>
          </w:tcMar>
          <w:tcBorders>
            <w:top w:val="none" w:sz="0" w:space="0" w:color="auto"/>
            <w:bottom w:val="none" w:sz="0" w:space="0" w:color="auto"/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cBorders>
        </w:tcPr>
        <w:p>
          <w:pPr>
            <w:jc w:val="right"/>
          </w:pPr>
          <w:r>
            <w:rPr>
              <w:rFonts w:ascii="Poppins" w:hAnsi="Poppins" w:eastAsia="Poppins"/>
              <w:b/>
              <w:i w:val="0"/>
              <w:color w:val="FFFFFF"/>
              <w:sz w:val="17"/>
            </w:rPr>
            <w:t>Bookkeeping Service Guide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