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72A"/>
            <w:tcMar>
              <w:top w:w="600" w:type="dxa"/>
              <w:bottom w:w="600" w:type="dxa"/>
              <w:left w:w="600" w:type="dxa"/>
              <w:right w:w="600" w:type="dxa"/>
            </w:tcMar>
            <w:vAlign w:val="center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  <w:p>
            <w:pPr>
              <w:jc w:val="left"/>
              <w:spacing w:before="0" w:after="360"/>
            </w:pPr>
            <w:r>
              <w:rPr>
                <w:rFonts w:ascii="Poppins" w:hAnsi="Poppins" w:eastAsia="Poppins"/>
                <w:b/>
                <w:i w:val="0"/>
                <w:color w:val="0F766E"/>
                <w:sz w:val="16"/>
              </w:rPr>
              <w:t>03 — CLIENT DOCUMENTS</w:t>
            </w:r>
          </w:p>
          <w:p>
            <w:pPr>
              <w:jc w:val="left"/>
              <w:spacing w:before="0" w:after="240"/>
            </w:pPr>
            <w:r>
              <w:rPr>
                <w:rFonts w:ascii="Poppins" w:hAnsi="Poppins" w:eastAsia="Poppins"/>
                <w:b/>
                <w:i w:val="0"/>
                <w:color w:val="FFFFFF"/>
                <w:sz w:val="56"/>
              </w:rPr>
              <w:t>Client Intake &amp;</w:t>
              <w:br/>
              <w:t>Onboarding Pack</w:t>
            </w:r>
          </w:p>
          <w:p>
            <w:pPr>
              <w:jc w:val="left"/>
              <w:spacing w:before="0" w:after="720"/>
            </w:pPr>
            <w:r>
              <w:rPr>
                <w:rFonts w:ascii="Inter" w:hAnsi="Inter" w:eastAsia="Inter"/>
                <w:b w:val="0"/>
                <w:i w:val="0"/>
                <w:color w:val="94A3B8"/>
                <w:sz w:val="24"/>
              </w:rPr>
              <w:t>Collect everything needed for a clean, confident start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9406"/>
            </w:tblGrid>
            <w:tr>
              <w:tc>
                <w:tcPr>
                  <w:tcW w:type="dxa" w:w="9406"/>
                  <w:shd w:val="clear" w:color="auto" w:fill="0F766E"/>
                  <w:tcMar>
                    <w:top w:w="20" w:type="dxa"/>
                    <w:bottom w:w="20" w:type="dxa"/>
                    <w:left w:w="0" w:type="dxa"/>
                    <w:right w:w="0" w:type="dxa"/>
                  </w:tcMar>
                  <w:tcBorders>
                    <w:top w:val="none" w:sz="0" w:space="0" w:color="auto"/>
                    <w:bottom w:val="none" w:sz="0" w:space="0" w:color="auto"/>
                    <w:left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cBorders>
                </w:tcPr>
                <w:p>
                  <w:r>
                    <w:t xml:space="preserve"> </w:t>
                  </w:r>
                </w:p>
              </w:tc>
            </w:tr>
          </w:tbl>
          <w:p/>
          <w:p>
            <w:pPr>
              <w:spacing w:before="480" w:after="0"/>
              <w:jc w:val="left"/>
            </w:pPr>
            <w:r>
              <w:rPr>
                <w:rFonts w:ascii="Poppins" w:hAnsi="Poppins" w:eastAsia="Poppins"/>
                <w:b/>
                <w:i w:val="0"/>
                <w:color w:val="D97706"/>
                <w:sz w:val="16"/>
              </w:rPr>
              <w:t>VERSION v2.0  ·  2025  ·  PREMIUM EDITION</w:t>
            </w:r>
          </w:p>
          <w:p>
            <w:pPr>
              <w:spacing w:before="1200" w:after="0"/>
              <w:jc w:val="left"/>
            </w:pPr>
            <w:r>
              <w:rPr>
                <w:rFonts w:ascii="Inter" w:hAnsi="Inter" w:eastAsia="Inter"/>
                <w:b w:val="0"/>
                <w:i w:val="0"/>
                <w:color w:val="475569"/>
                <w:sz w:val="15"/>
              </w:rPr>
              <w:t>Bookkeeper Practice Launch System  ·  Single-Practice Commercial Use License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D97706"/>
            </w:tcBorders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D97706"/>
                <w:sz w:val="19"/>
              </w:rPr>
              <w:t>Customization Required</w:t>
            </w:r>
          </w:p>
          <w:p>
            <w:pPr>
              <w:spacing w:before="0" w:after="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8"/>
              </w:rPr>
              <w:t>Replace all [BRACKETED TEXT] before sending. Complete Sections 1-4 with the client during or before the kickoff call.</w:t>
            </w:r>
          </w:p>
        </w:tc>
      </w:tr>
    </w:tbl>
    <w:p>
      <w:pPr>
        <w:spacing w:before="0" w:after="120"/>
      </w:pPr>
    </w:p>
    <w:p/>
    <w:p>
      <w:pPr>
        <w:spacing w:before="240" w:after="120"/>
      </w:pPr>
      <w:r>
        <w:rPr>
          <w:rFonts w:ascii="Poppins" w:hAnsi="Poppins" w:eastAsia="Poppins"/>
          <w:b/>
          <w:i w:val="0"/>
          <w:color w:val="0F172A"/>
          <w:sz w:val="36"/>
        </w:rPr>
        <w:t>Section 1 — Business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6520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Client Response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Legal Business Name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Trading Name (if different)</w:t>
            </w:r>
          </w:p>
        </w:tc>
        <w:tc>
          <w:tcPr>
            <w:tcW w:type="dxa" w:w="652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Entity Type &amp; Jurisdiction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Business Address</w:t>
            </w:r>
          </w:p>
        </w:tc>
        <w:tc>
          <w:tcPr>
            <w:tcW w:type="dxa" w:w="652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Primary Contact &amp; Approver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Fiscal Year End</w:t>
            </w:r>
          </w:p>
        </w:tc>
        <w:tc>
          <w:tcPr>
            <w:tcW w:type="dxa" w:w="652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Industry &amp; Business Model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Number of Entities / Locations</w:t>
            </w:r>
          </w:p>
        </w:tc>
        <w:tc>
          <w:tcPr>
            <w:tcW w:type="dxa" w:w="652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Current Accounting Basis (Cash / Accrual)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Current Bookkeeping Software &amp; Subscription</w:t>
            </w:r>
          </w:p>
        </w:tc>
        <w:tc>
          <w:tcPr>
            <w:tcW w:type="dxa" w:w="652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Poppins" w:hAnsi="Poppins" w:eastAsia="Poppins"/>
          <w:b/>
          <w:i w:val="0"/>
          <w:color w:val="0F172A"/>
          <w:sz w:val="36"/>
        </w:rPr>
        <w:t>Section 2 — Volume &amp; Complexity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Question</w:t>
            </w:r>
          </w:p>
        </w:tc>
        <w:tc>
          <w:tcPr>
            <w:tcW w:type="dxa" w:w="5953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Response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Avg. monthly bank &amp; card transactions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535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Number of bank accounts</w:t>
            </w:r>
          </w:p>
        </w:tc>
        <w:tc>
          <w:tcPr>
            <w:tcW w:type="dxa" w:w="5953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Number of credit cards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535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Payroll provider &amp; employee count</w:t>
            </w:r>
          </w:p>
        </w:tc>
        <w:tc>
          <w:tcPr>
            <w:tcW w:type="dxa" w:w="5953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Loans / lines of credit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535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Inventory (YES/NO + details)</w:t>
            </w:r>
          </w:p>
        </w:tc>
        <w:tc>
          <w:tcPr>
            <w:tcW w:type="dxa" w:w="5953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Sales channels &amp; payment processors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535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Foreign currency or cross-border activity</w:t>
            </w:r>
          </w:p>
        </w:tc>
        <w:tc>
          <w:tcPr>
            <w:tcW w:type="dxa" w:w="5953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Class, project, or location tracking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535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Last fully reconciled month</w:t>
            </w:r>
          </w:p>
        </w:tc>
        <w:tc>
          <w:tcPr>
            <w:tcW w:type="dxa" w:w="5953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Known backlogs or issues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Poppins" w:hAnsi="Poppins" w:eastAsia="Poppins"/>
          <w:b/>
          <w:i w:val="0"/>
          <w:color w:val="0F172A"/>
          <w:sz w:val="36"/>
        </w:rPr>
        <w:t>Section 3 — Documents Requested</w:t>
      </w:r>
    </w:p>
    <w:p>
      <w:pPr>
        <w:jc w:val="both"/>
        <w:spacing w:before="0" w:after="80"/>
      </w:pPr>
      <w:r>
        <w:rPr>
          <w:rFonts w:ascii="Inter" w:hAnsi="Inter" w:eastAsia="Inter"/>
          <w:b w:val="0"/>
          <w:i w:val="0"/>
          <w:color w:val="0F172A"/>
          <w:sz w:val="19"/>
        </w:rPr>
        <w:t>Please upload the following documents to your secure portal at [PORTAL LINK] before the kickoff call: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Prior-year financial statements and trial balance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Bank and credit-card statements from the agreed start date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Loan statements and amortization schedules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Payroll summaries and payroll tax liability reports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Sales-tax / VAT filings and notices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Merchant processor and e-commerce reports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Fixed-asset list with purchase dates and costs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Outstanding accounts receivable and payable aging reports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Tax return or tax-preparer adjusting entries (where appropriate)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2F2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EF4444"/>
            </w:tcBorders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EF4444"/>
                <w:sz w:val="19"/>
              </w:rPr>
              <w:t>Security Notice</w:t>
            </w:r>
          </w:p>
          <w:p>
            <w:pPr>
              <w:spacing w:before="0" w:after="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8"/>
              </w:rPr>
              <w:t>Never email banking passwords. Use secure portals, read-only accountant access, or an approved password manager only.</w:t>
            </w:r>
          </w:p>
        </w:tc>
      </w:tr>
    </w:tbl>
    <w:p>
      <w:pPr>
        <w:spacing w:before="0" w:after="120"/>
      </w:pPr>
    </w:p>
    <w:p/>
    <w:p>
      <w:pPr>
        <w:spacing w:before="240" w:after="120"/>
      </w:pPr>
      <w:r>
        <w:rPr>
          <w:rFonts w:ascii="Poppins" w:hAnsi="Poppins" w:eastAsia="Poppins"/>
          <w:b/>
          <w:i w:val="0"/>
          <w:color w:val="0F172A"/>
          <w:sz w:val="36"/>
        </w:rPr>
        <w:t>Section 4 — Kickoff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Decision</w:t>
            </w:r>
          </w:p>
        </w:tc>
        <w:tc>
          <w:tcPr>
            <w:tcW w:type="dxa" w:w="6520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Agreed Approach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Monthly close deadline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Document cutoff day (day statements are available)</w:t>
            </w:r>
          </w:p>
        </w:tc>
        <w:tc>
          <w:tcPr>
            <w:tcW w:type="dxa" w:w="652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Primary question / approval contact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Preferred communication channel</w:t>
            </w:r>
          </w:p>
        </w:tc>
        <w:tc>
          <w:tcPr>
            <w:tcW w:type="dxa" w:w="652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Report package (P&amp;L, Balance Sheet, Cash, Custom)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Escalation process for urgent items</w:t>
            </w:r>
          </w:p>
        </w:tc>
        <w:tc>
          <w:tcPr>
            <w:tcW w:type="dxa" w:w="652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First close period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Cleanup scope and start date (if applicable)</w:t>
            </w:r>
          </w:p>
        </w:tc>
        <w:tc>
          <w:tcPr>
            <w:tcW w:type="dxa" w:w="652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Poppins" w:hAnsi="Poppins" w:eastAsia="Poppins"/>
          <w:b/>
          <w:i w:val="0"/>
          <w:color w:val="0F172A"/>
          <w:sz w:val="36"/>
        </w:rPr>
        <w:t>Section 5 — Access &amp; Integration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252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Access Item</w:t>
            </w:r>
          </w:p>
        </w:tc>
        <w:tc>
          <w:tcPr>
            <w:tcW w:type="dxa" w:w="1701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4535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425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Bookkeeping software (accountant role)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 Granted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25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Bank feed connection or read-only access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 Granted</w:t>
            </w:r>
          </w:p>
        </w:tc>
        <w:tc>
          <w:tcPr>
            <w:tcW w:type="dxa" w:w="4535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25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Payroll platform (read-only)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 Granted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25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Payment processor / e-commerce reports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 Granted</w:t>
            </w:r>
          </w:p>
        </w:tc>
        <w:tc>
          <w:tcPr>
            <w:tcW w:type="dxa" w:w="4535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25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Client portal invitation accepted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 Accepted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25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Document upload folder shared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 Shared</w:t>
            </w:r>
          </w:p>
        </w:tc>
        <w:tc>
          <w:tcPr>
            <w:tcW w:type="dxa" w:w="4535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FBF1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0F766E"/>
            </w:tcBorders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0F766E"/>
                <w:sz w:val="19"/>
              </w:rPr>
              <w:t>Submission Instructions</w:t>
            </w:r>
          </w:p>
          <w:p>
            <w:pPr>
              <w:spacing w:before="0" w:after="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8"/>
              </w:rPr>
              <w:t>Send this completed pack to [PRACTICE NAME] at [EMAIL] or upload to your secure portal before the kickoff call. A written summary will be sent after the call confirming all decisions.</w:t>
            </w:r>
          </w:p>
        </w:tc>
      </w:tr>
    </w:tbl>
    <w:p>
      <w:pPr>
        <w:spacing w:before="0"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Mar>
            <w:top w:w="60" w:type="dxa"/>
            <w:bottom w:w="60" w:type="dxa"/>
            <w:left w:w="0" w:type="dxa"/>
            <w:right w:w="60" w:type="dxa"/>
          </w:tcMar>
          <w:tcBorders>
            <w:top w:val="none" w:sz="0" w:space="0" w:color="auto"/>
            <w:bottom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</w:tcPr>
        <w:p>
          <w:pPr>
            <w:jc w:val="left"/>
          </w:pPr>
          <w:r>
            <w:rPr>
              <w:rFonts w:ascii="Inter" w:hAnsi="Inter" w:eastAsia="Inter"/>
              <w:b w:val="0"/>
              <w:i w:val="0"/>
              <w:color w:val="64748B"/>
              <w:sz w:val="15"/>
            </w:rPr>
            <w:t>© 2025 Bookkeeper Practice Launch System v2.0  ·  Commercial Use License</w:t>
          </w:r>
        </w:p>
      </w:tc>
      <w:tc>
        <w:tcPr>
          <w:tcW w:type="dxa" w:w="4680"/>
          <w:tcMar>
            <w:top w:w="60" w:type="dxa"/>
            <w:bottom w:w="60" w:type="dxa"/>
            <w:left w:w="60" w:type="dxa"/>
            <w:right w:w="0" w:type="dxa"/>
          </w:tcMar>
          <w:tcBorders>
            <w:top w:val="none" w:sz="0" w:space="0" w:color="auto"/>
            <w:bottom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</w:tcPr>
        <w:p>
          <w:pPr>
            <w:jc w:val="right"/>
          </w:pPr>
          <w:r>
            <w:rPr>
              <w:rFonts w:ascii="Inter" w:hAnsi="Inter" w:eastAsia="Inter"/>
              <w:b/>
              <w:i w:val="0"/>
              <w:color w:val="0F766E"/>
              <w:sz w:val="15"/>
            </w:rPr>
            <w:t xml:space="preserve">Page </w:t>
          </w:r>
          <w:r>
            <w:rPr>
              <w:rFonts w:ascii="Inter" w:hAnsi="Inter" w:eastAsia="Inter"/>
              <w:b w:val="0"/>
              <w:i w:val="0"/>
              <w:color w:val="64748B"/>
              <w:sz w:val="16"/>
            </w:rPr>
            <w:fldChar w:fldCharType="begin"/>
            <w:instrText>PAGE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shd w:val="clear" w:color="auto" w:fill="0F172A"/>
          <w:tcMar>
            <w:top w:w="80" w:type="dxa"/>
            <w:bottom w:w="80" w:type="dxa"/>
            <w:left w:w="150" w:type="dxa"/>
            <w:right w:w="80" w:type="dxa"/>
          </w:tcMar>
          <w:tcBorders>
            <w:top w:val="none" w:sz="0" w:space="0" w:color="auto"/>
            <w:bottom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</w:tcPr>
        <w:p>
          <w:pPr>
            <w:jc w:val="left"/>
          </w:pPr>
          <w:r>
            <w:rPr>
              <w:rFonts w:ascii="Poppins" w:hAnsi="Poppins" w:eastAsia="Poppins"/>
              <w:b/>
              <w:i w:val="0"/>
              <w:color w:val="FFFFFF"/>
              <w:sz w:val="17"/>
            </w:rPr>
            <w:t>BOOKKEEPER PRACTICE LAUNCH SYSTEM</w:t>
          </w:r>
        </w:p>
      </w:tc>
      <w:tc>
        <w:tcPr>
          <w:tcW w:type="dxa" w:w="4680"/>
          <w:shd w:val="clear" w:color="auto" w:fill="0F766E"/>
          <w:tcMar>
            <w:top w:w="80" w:type="dxa"/>
            <w:bottom w:w="80" w:type="dxa"/>
            <w:left w:w="80" w:type="dxa"/>
            <w:right w:w="150" w:type="dxa"/>
          </w:tcMar>
          <w:tcBorders>
            <w:top w:val="none" w:sz="0" w:space="0" w:color="auto"/>
            <w:bottom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</w:tcPr>
        <w:p>
          <w:pPr>
            <w:jc w:val="right"/>
          </w:pPr>
          <w:r>
            <w:rPr>
              <w:rFonts w:ascii="Poppins" w:hAnsi="Poppins" w:eastAsia="Poppins"/>
              <w:b/>
              <w:i w:val="0"/>
              <w:color w:val="FFFFFF"/>
              <w:sz w:val="17"/>
            </w:rPr>
            <w:t>Client Intake &amp; Onboarding Pack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