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600" w:type="dxa"/>
              <w:bottom w:w="600" w:type="dxa"/>
              <w:left w:w="600" w:type="dxa"/>
              <w:right w:w="600" w:type="dxa"/>
            </w:tcMar>
            <w:vAlign w:val="center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  <w:p>
            <w:pPr>
              <w:jc w:val="left"/>
              <w:spacing w:before="0" w:after="36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04 — OPERATIONS LIBRARY</w:t>
            </w:r>
          </w:p>
          <w:p>
            <w:pPr>
              <w:jc w:val="left"/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FFFFFF"/>
                <w:sz w:val="56"/>
              </w:rPr>
              <w:t>Bookkeeping SOPs</w:t>
              <w:br/>
              <w:t>&amp; Checklists</w:t>
            </w:r>
          </w:p>
          <w:p>
            <w:pPr>
              <w:jc w:val="left"/>
              <w:spacing w:before="0" w:after="72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Internal operating manual for onboarding, close, QC, and document collection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406"/>
            </w:tblGrid>
            <w:tr>
              <w:tc>
                <w:tcPr>
                  <w:tcW w:type="dxa" w:w="9406"/>
                  <w:shd w:val="clear" w:color="auto" w:fill="0F766E"/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  <w:tcBorders>
                    <w:top w:val="none" w:sz="0" w:space="0" w:color="auto"/>
                    <w:bottom w:val="none" w:sz="0" w:space="0" w:color="auto"/>
                    <w:left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cBorders>
                </w:tcPr>
                <w:p>
                  <w:r>
                    <w:t xml:space="preserve"> </w:t>
                  </w:r>
                </w:p>
              </w:tc>
            </w:tr>
          </w:tbl>
          <w:p/>
          <w:p>
            <w:pPr>
              <w:spacing w:before="480"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D97706"/>
                <w:sz w:val="16"/>
              </w:rPr>
              <w:t>VERSION v2.0  ·  2025  ·  PREMIUM EDITION</w:t>
            </w:r>
          </w:p>
          <w:p>
            <w:pPr>
              <w:spacing w:before="1200" w:after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475569"/>
                <w:sz w:val="15"/>
              </w:rPr>
              <w:t>Bookkeeper Practice Launch System  ·  Single-Practice Commercial Use License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D97706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9"/>
              </w:rPr>
              <w:t>Internal Use Only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These are internal documents — not for clients. Customize the [BRACKETED TEXT] and adapt procedures to your tools and workflow.</w:t>
            </w:r>
          </w:p>
        </w:tc>
      </w:tr>
    </w:tbl>
    <w:p>
      <w:pPr>
        <w:spacing w:before="0" w:after="120"/>
      </w:pPr>
    </w:p>
    <w:p/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SOP 1 — Client Onboarding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Complete these steps for every new client before the first monthly close.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102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701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226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Deadline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Confirm signed engagement agreement and initial payment received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Before kickoff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Create client folder in [SYSTEM] with standard subfolder structure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Create client record in Notion (or CRM) with all profile data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1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Set up recurring tasks in [PROJECT TOOL] for monthly close cadence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2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Request secure accountant / user access to bookkeeping software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2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Request required source documents via secure portal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2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Capture entity type, fiscal year, accounting basis, accounts, integrations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Kickoff call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Review opening balances and last fully reconciled period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 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Document known issues, cleanup scope, deadlines, and responsibilities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 1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Run kickoff call and send written action summary within 24 hours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 1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SOP 2 — Monthly Close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7937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Control Point</w:t>
            </w:r>
          </w:p>
        </w:tc>
        <w:tc>
          <w:tcPr>
            <w:tcW w:type="dxa" w:w="1134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Done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Confirm all bank, card, loan, payroll, and processor data is available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7937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Import / sync transactions and investigate duplicates or failed feeds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Categorize all transactions; resolve uncategorized / suspense items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type="dxa" w:w="7937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Reconcile every bank and credit-card account to statements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Reconcile loans, payroll liabilities, sales-tax/VAT liabilities, and clearing accounts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type="dxa" w:w="7937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Review accounts receivable, accounts payable, negative balances, and stale items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Record approved accruals, prepayments, depreciation, or adjustments within scope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type="dxa" w:w="7937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Compare current month with prior month and budget; document material variances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Run balance-sheet integrity and reasonableness checks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type="dxa" w:w="7937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Prepare consolidated client question list and obtain documented responses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Finalize P&amp;L, balance sheet, cash summary, and all agreed reports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type="dxa" w:w="7937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Complete reviewer sign-off, lock or close period, and deliver to client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SOP 3 — Tax Document Checklist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Use this checklist at year-end or when preparing the annual tax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Category</w:t>
            </w:r>
          </w:p>
        </w:tc>
        <w:tc>
          <w:tcPr>
            <w:tcW w:type="dxa" w:w="822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Typical Documents Required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Income</w:t>
            </w:r>
          </w:p>
        </w:tc>
        <w:tc>
          <w:tcPr>
            <w:tcW w:type="dxa" w:w="82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Sales summaries, invoices, merchant reports, platform statements, interest income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Banking</w:t>
            </w:r>
          </w:p>
        </w:tc>
        <w:tc>
          <w:tcPr>
            <w:tcW w:type="dxa" w:w="82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Year-end bank and credit-card statements, final reconciliations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</w:t>
            </w:r>
          </w:p>
        </w:tc>
        <w:tc>
          <w:tcPr>
            <w:tcW w:type="dxa" w:w="82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Annual payroll summaries, W-2/1099 or equivalent, payroll tax filings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Expenses</w:t>
            </w:r>
          </w:p>
        </w:tc>
        <w:tc>
          <w:tcPr>
            <w:tcW w:type="dxa" w:w="82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Major receipts, insurance, rent, professional fees, travel, vehicle records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Assets &amp; Debt</w:t>
            </w:r>
          </w:p>
        </w:tc>
        <w:tc>
          <w:tcPr>
            <w:tcW w:type="dxa" w:w="82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Asset purchases/disposals, loan statements, financing agreements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Tax &amp; Compliance</w:t>
            </w:r>
          </w:p>
        </w:tc>
        <w:tc>
          <w:tcPr>
            <w:tcW w:type="dxa" w:w="82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Prior-year return, estimated payments, notices, sales-tax/VAT filings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Owner Activity</w:t>
            </w:r>
          </w:p>
        </w:tc>
        <w:tc>
          <w:tcPr>
            <w:tcW w:type="dxa" w:w="82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Contributions, draws/distributions, shareholder/partner transactions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EF4444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EF4444"/>
                <w:sz w:val="19"/>
              </w:rPr>
              <w:t>Scope Reminder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Document collection is not tax advice. Confirm the final list and filing deadlines with the client's qualified tax professional.</w:t>
            </w:r>
          </w:p>
        </w:tc>
      </w:tr>
    </w:tbl>
    <w:p>
      <w:pPr>
        <w:spacing w:before="0" w:after="120"/>
      </w:pPr>
    </w:p>
    <w:p/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SOP 4 — Quality Control Review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Complete this review before delivering reports to any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52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QC Check</w:t>
            </w:r>
          </w:p>
        </w:tc>
        <w:tc>
          <w:tcPr>
            <w:tcW w:type="dxa" w:w="226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Verified By</w:t>
            </w:r>
          </w:p>
        </w:tc>
        <w:tc>
          <w:tcPr>
            <w:tcW w:type="dxa" w:w="1134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Done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statement balances agree to the ledger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No unexplained suspense or uncategorized balances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Opening balances and retained earnings are understood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Negative assets/liabilities and unusual balances are investigated and documented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Payroll, loans, sales tax/VAT, and processor clearing accounts are fully reconciled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Material variances have documented explanations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Reports use correct period, basis, entity, and comparison column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questions, judgments, and client approvals are documented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Period is locked or closed in the software after review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Reports delivered to client portal — not by ordinary email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5"/>
            </w:rPr>
            <w:t>© 2025 Bookkeeper Practice Launch System v2.0  ·  Commercial Use License</w:t>
          </w:r>
        </w:p>
      </w:tc>
      <w:tc>
        <w:tcPr>
          <w:tcW w:type="dxa" w:w="4680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766E"/>
              <w:sz w:val="15"/>
            </w:rPr>
            <w:t xml:space="preserve">Page </w:t>
          </w: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shd w:val="clear" w:color="auto" w:fill="0F172A"/>
          <w:tcMar>
            <w:top w:w="80" w:type="dxa"/>
            <w:bottom w:w="80" w:type="dxa"/>
            <w:left w:w="150" w:type="dxa"/>
            <w:right w:w="8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BOOKKEEPER PRACTICE LAUNCH SYSTEM</w:t>
          </w:r>
        </w:p>
      </w:tc>
      <w:tc>
        <w:tcPr>
          <w:tcW w:type="dxa" w:w="4680"/>
          <w:shd w:val="clear" w:color="auto" w:fill="0F766E"/>
          <w:tcMar>
            <w:top w:w="80" w:type="dxa"/>
            <w:bottom w:w="80" w:type="dxa"/>
            <w:left w:w="80" w:type="dxa"/>
            <w:right w:w="15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Bookkeeping SOPs &amp; Checklists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