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Pricing Guide</w:t>
      </w:r>
    </w:p>
    <w:p>
      <w:pPr/>
      <w:r>
        <w:rPr>
          <w:color w:val="7F8C8D"/>
          <w:sz w:val="20"/>
        </w:rPr>
        <w:t>Recruiting Agency Operating System | Business Development</w:t>
      </w:r>
    </w:p>
    <w:p>
      <w:pPr>
        <w:pStyle w:val="Heading1"/>
      </w:pPr>
      <w:r>
        <w:rPr>
          <w:color w:val="0F3460"/>
        </w:rPr>
        <w:t>PRICING MODELS OVERVIEW</w:t>
      </w:r>
    </w:p>
    <w:p>
      <w:r>
        <w:t>There are four main pricing models used by recruiting agencies. Choose the one that fits your niche and client type.</w:t>
      </w:r>
    </w:p>
    <w:p>
      <w:pPr>
        <w:pStyle w:val="Heading1"/>
      </w:pPr>
      <w:r>
        <w:rPr>
          <w:color w:val="0F3460"/>
        </w:rPr>
        <w:t>1. CONTINGENCY (Most Common)</w:t>
      </w:r>
    </w:p>
    <w:p>
      <w:pPr>
        <w:pStyle w:val="ListBullet"/>
      </w:pPr>
      <w:r>
        <w:t>Fee: 15–25% of candidate's first-year base salary</w:t>
      </w:r>
    </w:p>
    <w:p>
      <w:pPr>
        <w:pStyle w:val="ListBullet"/>
      </w:pPr>
      <w:r>
        <w:t>When paid: Upon candidate start date</w:t>
      </w:r>
    </w:p>
    <w:p>
      <w:pPr>
        <w:pStyle w:val="ListBullet"/>
      </w:pPr>
      <w:r>
        <w:t>Best for: Permanent placements, new clients, smaller roles</w:t>
      </w:r>
    </w:p>
    <w:p>
      <w:pPr>
        <w:pStyle w:val="ListBullet"/>
      </w:pPr>
      <w:r>
        <w:t>Guarantee: 30–90 day replacement clause standard</w:t>
      </w:r>
    </w:p>
    <w:p>
      <w:pPr>
        <w:pStyle w:val="ListBullet"/>
      </w:pPr>
      <w:r>
        <w:t>Example: $80,000 salary × 20% = $16,000 fee</w:t>
      </w:r>
    </w:p>
    <w:p>
      <w:pPr>
        <w:pStyle w:val="Heading1"/>
      </w:pPr>
      <w:r>
        <w:rPr>
          <w:color w:val="0F3460"/>
        </w:rPr>
        <w:t>2. RETAINED SEARCH</w:t>
      </w:r>
    </w:p>
    <w:p>
      <w:pPr>
        <w:pStyle w:val="ListBullet"/>
      </w:pPr>
      <w:r>
        <w:t>Fee: 25–33% of first-year total compensation</w:t>
      </w:r>
    </w:p>
    <w:p>
      <w:pPr>
        <w:pStyle w:val="ListBullet"/>
      </w:pPr>
      <w:r>
        <w:t>Payment structure: 1/3 upfront, 1/3 at shortlist delivery, 1/3 on placement</w:t>
      </w:r>
    </w:p>
    <w:p>
      <w:pPr>
        <w:pStyle w:val="ListBullet"/>
      </w:pPr>
      <w:r>
        <w:t>Best for: Senior, executive, or confidential searches</w:t>
      </w:r>
    </w:p>
    <w:p>
      <w:pPr>
        <w:pStyle w:val="ListBullet"/>
      </w:pPr>
      <w:r>
        <w:t>Advantage: Exclusive commitment from agency; deeper search</w:t>
      </w:r>
    </w:p>
    <w:p>
      <w:pPr>
        <w:pStyle w:val="ListBullet"/>
      </w:pPr>
      <w:r>
        <w:t>Example: $150,000 salary × 30% = $45,000 (paid in three $15,000 installments)</w:t>
      </w:r>
    </w:p>
    <w:p>
      <w:pPr>
        <w:pStyle w:val="Heading1"/>
      </w:pPr>
      <w:r>
        <w:rPr>
          <w:color w:val="0F3460"/>
        </w:rPr>
        <w:t>3. CONTRACT / TEMP STAFFING</w:t>
      </w:r>
    </w:p>
    <w:p>
      <w:pPr>
        <w:pStyle w:val="ListBullet"/>
      </w:pPr>
      <w:r>
        <w:t>Fee: Bill rate = (pay rate × markup %). Typical markup: 40–60%</w:t>
      </w:r>
    </w:p>
    <w:p>
      <w:pPr>
        <w:pStyle w:val="ListBullet"/>
      </w:pPr>
      <w:r>
        <w:t>When paid: Weekly or bi-weekly invoicing</w:t>
      </w:r>
    </w:p>
    <w:p>
      <w:pPr>
        <w:pStyle w:val="ListBullet"/>
      </w:pPr>
      <w:r>
        <w:t>Best for: Short-term projects, seasonal, contract-to-hire</w:t>
      </w:r>
    </w:p>
    <w:p>
      <w:pPr>
        <w:pStyle w:val="ListBullet"/>
      </w:pPr>
      <w:r>
        <w:t>Example: Candidate paid $40/hr → bill client $58/hr (45% markup)</w:t>
      </w:r>
    </w:p>
    <w:p>
      <w:pPr>
        <w:pStyle w:val="Heading1"/>
      </w:pPr>
      <w:r>
        <w:rPr>
          <w:color w:val="0F3460"/>
        </w:rPr>
        <w:t>4. FLAT FEE / PROJECT-BASED</w:t>
      </w:r>
    </w:p>
    <w:p>
      <w:pPr>
        <w:pStyle w:val="ListBullet"/>
      </w:pPr>
      <w:r>
        <w:t>Fee: Fixed price per search or project (e.g., $5,000–$15,000)</w:t>
      </w:r>
    </w:p>
    <w:p>
      <w:pPr>
        <w:pStyle w:val="ListBullet"/>
      </w:pPr>
      <w:r>
        <w:t>Best for: Volume hiring, startups with budget constraints</w:t>
      </w:r>
    </w:p>
    <w:p>
      <w:pPr>
        <w:pStyle w:val="ListBullet"/>
      </w:pPr>
      <w:r>
        <w:t>Considerations: Define deliverables clearly (# of profiles, timeline, revisions)</w:t>
      </w:r>
    </w:p>
    <w:p>
      <w:pPr>
        <w:pStyle w:val="Heading1"/>
      </w:pPr>
      <w:r>
        <w:rPr>
          <w:color w:val="0F3460"/>
        </w:rPr>
        <w:t>GUARANTEE POLICY</w:t>
      </w:r>
    </w:p>
    <w:p>
      <w:pPr>
        <w:pStyle w:val="ListBullet"/>
      </w:pPr>
      <w:r>
        <w:t>Standard guarantee: [90] days from candidate start date</w:t>
      </w:r>
    </w:p>
    <w:p>
      <w:pPr>
        <w:pStyle w:val="ListBullet"/>
      </w:pPr>
      <w:r>
        <w:t>If candidate leaves or is terminated within guarantee period: free replacement search</w:t>
      </w:r>
    </w:p>
    <w:p>
      <w:pPr>
        <w:pStyle w:val="ListBullet"/>
      </w:pPr>
      <w:r>
        <w:t>Exclusions: Layoffs, role elimination, mutual agreement</w:t>
      </w:r>
    </w:p>
    <w:p>
      <w:pPr>
        <w:pStyle w:val="Heading1"/>
      </w:pPr>
      <w:r>
        <w:rPr>
          <w:color w:val="0F3460"/>
        </w:rPr>
        <w:t>SAMPLE FEE SCHEDULE</w:t>
      </w:r>
    </w:p>
    <w:p>
      <w:pPr>
        <w:pStyle w:val="ListBullet"/>
      </w:pPr>
      <w:r>
        <w:t>Entry-level roles ($30–50K): 15–18%</w:t>
      </w:r>
    </w:p>
    <w:p>
      <w:pPr>
        <w:pStyle w:val="ListBullet"/>
      </w:pPr>
      <w:r>
        <w:t>Mid-level roles ($50–100K): 18–22%</w:t>
      </w:r>
    </w:p>
    <w:p>
      <w:pPr>
        <w:pStyle w:val="ListBullet"/>
      </w:pPr>
      <w:r>
        <w:t>Senior roles ($100–200K): 22–28%</w:t>
      </w:r>
    </w:p>
    <w:p>
      <w:pPr>
        <w:pStyle w:val="ListBullet"/>
      </w:pPr>
      <w:r>
        <w:t>Executive roles ($200K+): 28–33% retained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