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Record Retention Policy</w:t>
      </w:r>
    </w:p>
    <w:p>
      <w:pPr/>
      <w:r>
        <w:rPr>
          <w:color w:val="7F8C8D"/>
          <w:sz w:val="20"/>
        </w:rPr>
        <w:t>Recruiting Agency Operating System | Compliance &amp; Legal</w:t>
      </w:r>
    </w:p>
    <w:p>
      <w:pPr>
        <w:pStyle w:val="Heading1"/>
      </w:pPr>
      <w:r>
        <w:rPr>
          <w:color w:val="0F3460"/>
        </w:rPr>
        <w:t>PURPOSE</w:t>
      </w:r>
    </w:p>
    <w:p>
      <w:r>
        <w:t>This policy establishes minimum record retention requirements for [Agency Name] to comply with applicable employment, privacy, and business laws.</w:t>
      </w:r>
    </w:p>
    <w:p>
      <w:pPr>
        <w:pStyle w:val="Heading1"/>
      </w:pPr>
      <w:r>
        <w:rPr>
          <w:color w:val="0F3460"/>
        </w:rPr>
        <w:t>RETENTION SCHEDULE</w:t>
      </w:r>
    </w:p>
    <w:p>
      <w:pPr>
        <w:pStyle w:val="ListBullet"/>
      </w:pPr>
      <w:r>
        <w:t>Resumes / Applications: 1–2 years from receipt</w:t>
      </w:r>
    </w:p>
    <w:p>
      <w:pPr>
        <w:pStyle w:val="ListBullet"/>
      </w:pPr>
      <w:r>
        <w:t>Interview notes and assessments: 1–2 years from final decision</w:t>
      </w:r>
    </w:p>
    <w:p>
      <w:pPr>
        <w:pStyle w:val="ListBullet"/>
      </w:pPr>
      <w:r>
        <w:t>Background check records: As required by FCRA (up to 5 years)</w:t>
      </w:r>
    </w:p>
    <w:p>
      <w:pPr>
        <w:pStyle w:val="ListBullet"/>
      </w:pPr>
      <w:r>
        <w:t>Placement records (offer letters, contracts): 7 years after placement ends</w:t>
      </w:r>
    </w:p>
    <w:p>
      <w:pPr>
        <w:pStyle w:val="ListBullet"/>
      </w:pPr>
      <w:r>
        <w:t>Invoices and payment records: 7 years</w:t>
      </w:r>
    </w:p>
    <w:p>
      <w:pPr>
        <w:pStyle w:val="ListBullet"/>
      </w:pPr>
      <w:r>
        <w:t>Client service agreements: Duration of relationship + 7 years</w:t>
      </w:r>
    </w:p>
    <w:p>
      <w:pPr>
        <w:pStyle w:val="ListBullet"/>
      </w:pPr>
      <w:r>
        <w:t>EEOC compliance records: 1–2 years minimum</w:t>
      </w:r>
    </w:p>
    <w:p>
      <w:pPr>
        <w:pStyle w:val="ListBullet"/>
      </w:pPr>
      <w:r>
        <w:t>Payroll / contractor payment records: 3–7 years</w:t>
      </w:r>
    </w:p>
    <w:p>
      <w:pPr>
        <w:pStyle w:val="Heading1"/>
      </w:pPr>
      <w:r>
        <w:rPr>
          <w:color w:val="0F3460"/>
        </w:rPr>
        <w:t>STORAGE REQUIREMENTS</w:t>
      </w:r>
    </w:p>
    <w:p>
      <w:pPr>
        <w:pStyle w:val="ListBullet"/>
      </w:pPr>
      <w:r>
        <w:t>Electronic records: Stored in secure, access-controlled systems with regular backups</w:t>
      </w:r>
    </w:p>
    <w:p>
      <w:pPr>
        <w:pStyle w:val="ListBullet"/>
      </w:pPr>
      <w:r>
        <w:t>Physical records: Locked storage; access limited to authorized staff</w:t>
      </w:r>
    </w:p>
    <w:p>
      <w:pPr>
        <w:pStyle w:val="ListBullet"/>
      </w:pPr>
      <w:r>
        <w:t>Candidate data: Encrypted at rest and in transit</w:t>
      </w:r>
    </w:p>
    <w:p>
      <w:pPr>
        <w:pStyle w:val="Heading1"/>
      </w:pPr>
      <w:r>
        <w:rPr>
          <w:color w:val="0F3460"/>
        </w:rPr>
        <w:t>DISPOSAL</w:t>
      </w:r>
    </w:p>
    <w:p>
      <w:pPr>
        <w:pStyle w:val="ListBullet"/>
      </w:pPr>
      <w:r>
        <w:t>Paper records: Shredded by certified provider</w:t>
      </w:r>
    </w:p>
    <w:p>
      <w:pPr>
        <w:pStyle w:val="ListBullet"/>
      </w:pPr>
      <w:r>
        <w:t>Electronic records: Permanently deleted or overwritten using secure methods</w:t>
      </w:r>
    </w:p>
    <w:p>
      <w:pPr>
        <w:pStyle w:val="ListBullet"/>
      </w:pPr>
      <w:r>
        <w:t>Document disposal with date and method recorded</w:t>
      </w:r>
    </w:p>
    <w:p>
      <w:pPr>
        <w:pStyle w:val="Heading1"/>
      </w:pPr>
      <w:r>
        <w:rPr>
          <w:color w:val="0F3460"/>
        </w:rPr>
        <w:t>DATA SUBJECT RIGHTS</w:t>
      </w:r>
    </w:p>
    <w:p>
      <w:r>
        <w:t>Candidates may request access to, correction of, or deletion of their personal data. Respond to such requests within [30] days. Consult applicable privacy laws (GDPR, CCPA) before deleting records within retention periods.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