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rFonts w:ascii="Aptos" w:hAnsi="Aptos"/>
          <w:b/>
          <w:color w:val="18A999"/>
          <w:sz w:val="20"/>
        </w:rPr>
        <w:t>BOOKKEEPER PRACTICE LAUNCH SYSTEM</w:t>
      </w:r>
    </w:p>
    <w:p>
      <w:pPr>
        <w:pStyle w:val="Title"/>
        <w:jc w:val="center"/>
      </w:pPr>
      <w:r>
        <w:t>Start Here</w:t>
      </w:r>
    </w:p>
    <w:p>
      <w:pPr>
        <w:spacing w:after="480"/>
        <w:jc w:val="center"/>
      </w:pPr>
      <w:r>
        <w:rPr>
          <w:color w:val="637083"/>
          <w:sz w:val="26"/>
        </w:rPr>
        <w:t>Launch and operate a reliable bookkeeping practice with one connected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9792"/>
            <w:shd w:fill="EAF7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43A"/>
                <w:sz w:val="21"/>
              </w:rPr>
              <w:t>Replace all [BRACKETED TEXT] with your agency details before use.</w:t>
            </w:r>
          </w:p>
        </w:tc>
      </w:tr>
    </w:tbl>
    <w:p>
      <w:r>
        <w:br w:type="page"/>
      </w:r>
    </w:p>
    <w:p>
      <w:pPr>
        <w:pStyle w:val="Heading1"/>
      </w:pPr>
      <w:r>
        <w:t>What is included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48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6624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01 Start Here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Setup sequence, service model, and launch checklist.</w:t>
            </w:r>
          </w:p>
        </w:tc>
      </w:tr>
      <w:tr>
        <w:tc>
          <w:tcPr>
            <w:tcW w:type="dxa" w:w="2448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02 Practice Dashboard</w:t>
            </w:r>
          </w:p>
        </w:tc>
        <w:tc>
          <w:tcPr>
            <w:tcW w:type="dxa" w:w="6624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Clients, monthly close, invoices, documents, capacity, pricing, and KPIs.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03 Client Documents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Service guide, intake, proposal, engagement agreement, and onboarding.</w:t>
            </w:r>
          </w:p>
        </w:tc>
      </w:tr>
      <w:tr>
        <w:tc>
          <w:tcPr>
            <w:tcW w:type="dxa" w:w="2448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04 Operations Library</w:t>
            </w:r>
          </w:p>
        </w:tc>
        <w:tc>
          <w:tcPr>
            <w:tcW w:type="dxa" w:w="6624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Monthly close, tax documents, communication scripts, and SOPs.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05 Notion Import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CSV databases for a client portal and internal workspace.</w:t>
            </w:r>
          </w:p>
        </w:tc>
      </w:tr>
    </w:tbl>
    <w:p/>
    <w:p>
      <w:pPr>
        <w:pStyle w:val="Heading1"/>
      </w:pPr>
      <w:r>
        <w:t>90-minute setup</w:t>
      </w:r>
    </w:p>
    <w:p>
      <w:pPr>
        <w:pStyle w:val="ListNumber"/>
      </w:pPr>
      <w:r>
        <w:t>Open Bookkeeper-Practice-Dashboard.xlsx and customize the yellow Setup and Pricing Calculator cells.</w:t>
      </w:r>
    </w:p>
    <w:p>
      <w:pPr>
        <w:pStyle w:val="ListNumber"/>
      </w:pPr>
      <w:r>
        <w:t>Choose your service boundaries: bookkeeping frequency, supported software, payroll, sales tax, catch-up work, and advisory exclusions.</w:t>
      </w:r>
    </w:p>
    <w:p>
      <w:pPr>
        <w:pStyle w:val="ListNumber"/>
      </w:pPr>
      <w:r>
        <w:t>Customize the Service Guide, Proposal, Engagement Agreement, Intake Form, and Onboarding Pack.</w:t>
      </w:r>
    </w:p>
    <w:p>
      <w:pPr>
        <w:pStyle w:val="ListNumber"/>
      </w:pPr>
      <w:r>
        <w:t>Import all CSV databases into Notion, then connect client names and monthly-close records using relations.</w:t>
      </w:r>
    </w:p>
    <w:p>
      <w:pPr>
        <w:pStyle w:val="ListNumber"/>
      </w:pPr>
      <w:r>
        <w:t>Create secure document-request and account-access procedures. Do not request passwords by ordinary email.</w:t>
      </w:r>
    </w:p>
    <w:p>
      <w:pPr>
        <w:pStyle w:val="ListNumber"/>
      </w:pPr>
      <w:r>
        <w:t>Add three sample prospects, run the pricing calculator, and schedule your weekly sales and production reviews.</w:t>
      </w:r>
    </w:p>
    <w:p>
      <w:pPr>
        <w:pStyle w:val="Heading1"/>
      </w:pPr>
      <w:r>
        <w:t>Core client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440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680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952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Asset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Lead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Qualify entity, volume, software, complexity, and urgency.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Lead Pipeline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Diagnostic</w:t>
            </w:r>
          </w:p>
        </w:tc>
        <w:tc>
          <w:tcPr>
            <w:tcW w:type="dxa" w:w="468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Review books, backlog, accounts, payroll, and reporting needs.</w:t>
            </w:r>
          </w:p>
        </w:tc>
        <w:tc>
          <w:tcPr>
            <w:tcW w:type="dxa" w:w="295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Client Intake + Diagnostic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Proposal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Define exact scope, assumptions, cleanup, recurring fee, and start date.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Proposal Template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Engagement</w:t>
            </w:r>
          </w:p>
        </w:tc>
        <w:tc>
          <w:tcPr>
            <w:tcW w:type="dxa" w:w="468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Sign terms, collect payment, and confirm responsibilities.</w:t>
            </w:r>
          </w:p>
        </w:tc>
        <w:tc>
          <w:tcPr>
            <w:tcW w:type="dxa" w:w="295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Engagement Agreement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Onboarding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Collect access, chart of accounts, documents, contacts, and deadlines.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Onboarding Pack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Monthly close</w:t>
            </w:r>
          </w:p>
        </w:tc>
        <w:tc>
          <w:tcPr>
            <w:tcW w:type="dxa" w:w="468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Reconcile, review, adjust, report, and document exceptions.</w:t>
            </w:r>
          </w:p>
        </w:tc>
        <w:tc>
          <w:tcPr>
            <w:tcW w:type="dxa" w:w="295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Monthly Close Checklist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Client review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Deliver reports, explain exceptions, and confirm next actions.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Client Portal + Scripts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243447"/>
                <w:sz w:val="20"/>
              </w:rPr>
              <w:t>Professional notice</w:t>
              <w:br/>
              <w:t>This product supports bookkeeping operations. It is not accounting, tax, legal, payroll, or regulatory advice. Adapt it to your credentials, jurisdiction, and permitted scope.</w:t>
            </w:r>
          </w:p>
        </w:tc>
      </w:tr>
    </w:tbl>
    <w:p>
      <w:pPr>
        <w:spacing w:after="0"/>
      </w:pPr>
    </w:p>
    <w:p>
      <w:pPr>
        <w:pStyle w:val="Heading1"/>
      </w:pPr>
      <w:r>
        <w:t>Commercial-use license</w:t>
      </w:r>
    </w:p>
    <w:p>
      <w:r>
        <w:t>The buyer may customize and use these files inside one bookkeeping practice and with direct clients. Resale, redistribution, sublicensing, template sharing, or repackaging as a competing product is prohibited.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Editable template • Customize before client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8A999"/>
        <w:sz w:val="16"/>
      </w:rPr>
      <w:t>AI SOCIAL MEDIA AGENCY 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A9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eldLabel">
    <w:name w:val="Field Label"/>
    <w:pPr>
      <w:spacing w:before="100" w:after="40"/>
    </w:pPr>
    <w:rPr>
      <w:rFonts w:ascii="Aptos" w:hAnsi="Aptos"/>
      <w:b/>
      <w:color w:val="63708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Editable agency operating template</dc:subject>
  <dc:creator>AI Social Media Agency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