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/>
        <w:jc w:val="center"/>
      </w:pPr>
      <w:r>
        <w:rPr>
          <w:rFonts w:ascii="Aptos" w:hAnsi="Aptos"/>
          <w:b/>
          <w:color w:val="18A999"/>
          <w:sz w:val="20"/>
        </w:rPr>
        <w:t>GENERAL EDITABLE TEMPLATE</w:t>
      </w:r>
    </w:p>
    <w:p>
      <w:pPr>
        <w:pStyle w:val="Title"/>
        <w:jc w:val="center"/>
      </w:pPr>
      <w:r>
        <w:t>Bookkeeping Engagement Agreement</w:t>
      </w:r>
    </w:p>
    <w:p>
      <w:pPr>
        <w:spacing w:after="480"/>
        <w:jc w:val="center"/>
      </w:pPr>
      <w:r>
        <w:rPr>
          <w:color w:val="637083"/>
          <w:sz w:val="26"/>
        </w:rPr>
        <w:t>Between [PRACTICE LEGAL NAME] and [CLIENT LEGAL NAME].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9792"/>
            <w:shd w:fill="EAF7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43A"/>
                <w:sz w:val="21"/>
              </w:rPr>
              <w:t>Replace all [BRACKETED TEXT] with your agency details before use.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243447"/>
                <w:sz w:val="20"/>
              </w:rPr>
              <w:t>Legal notice</w:t>
              <w:br/>
              <w:t>This is a general template, not legal or professional advice. A qualified lawyer and relevant accounting professional should review it for your jurisdiction, credentials, privacy duties, and permitted services.</w:t>
            </w:r>
          </w:p>
        </w:tc>
      </w:tr>
    </w:tbl>
    <w:p>
      <w:pPr>
        <w:spacing w:after="0"/>
      </w:pPr>
    </w:p>
    <w:p>
      <w:pPr>
        <w:pStyle w:val="Heading2"/>
      </w:pPr>
      <w:r>
        <w:t>1. Services</w:t>
      </w:r>
    </w:p>
    <w:p>
      <w:r>
        <w:t>The Practice will perform the bookkeeping services described in the attached Scope of Work. Services not expressly listed are excluded.</w:t>
      </w:r>
    </w:p>
    <w:p>
      <w:pPr>
        <w:pStyle w:val="Heading2"/>
      </w:pPr>
      <w:r>
        <w:t>2. Client responsibilities</w:t>
      </w:r>
    </w:p>
    <w:p>
      <w:r>
        <w:t>Client remains responsible for business decisions, internal controls, source records, transaction authorization, legal compliance, and the completeness and accuracy of information supplied.</w:t>
      </w:r>
    </w:p>
    <w:p>
      <w:pPr>
        <w:pStyle w:val="Heading2"/>
      </w:pPr>
      <w:r>
        <w:t>3. No assurance or tax opinion</w:t>
      </w:r>
    </w:p>
    <w:p>
      <w:r>
        <w:t>Unless separately agreed and legally permitted, the engagement does not include audit, review, assurance, tax advice, tax-return preparation, legal advice, fraud detection, or verification of source information.</w:t>
      </w:r>
    </w:p>
    <w:p>
      <w:pPr>
        <w:pStyle w:val="Heading2"/>
      </w:pPr>
      <w:r>
        <w:t>4. Fees and payment</w:t>
      </w:r>
    </w:p>
    <w:p>
      <w:r>
        <w:t>Fees are [AMOUNT/STRUCTURE]. Invoices are due [TERMS]. Work may be paused for overdue balances after notice.</w:t>
      </w:r>
    </w:p>
    <w:p>
      <w:pPr>
        <w:pStyle w:val="Heading2"/>
      </w:pPr>
      <w:r>
        <w:t>5. Access and security</w:t>
      </w:r>
    </w:p>
    <w:p>
      <w:r>
        <w:t>The parties will use reasonable security controls and role-based access. Client will not send passwords through ordinary email. Each party will promptly report suspected unauthorized access.</w:t>
      </w:r>
    </w:p>
    <w:p>
      <w:pPr>
        <w:pStyle w:val="Heading2"/>
      </w:pPr>
      <w:r>
        <w:t>6. Deadlines and delays</w:t>
      </w:r>
    </w:p>
    <w:p>
      <w:r>
        <w:t>Delivery dates depend on timely records, responses, and approvals. Client delays may shift the close and reporting dates.</w:t>
      </w:r>
    </w:p>
    <w:p>
      <w:pPr>
        <w:pStyle w:val="Heading2"/>
      </w:pPr>
      <w:r>
        <w:t>7. Corrections and prior periods</w:t>
      </w:r>
    </w:p>
    <w:p>
      <w:r>
        <w:t>The Practice may correct bookkeeping errors identified during the engagement. Material prior-period or cleanup work outside scope requires approval and additional fees.</w:t>
      </w:r>
    </w:p>
    <w:p>
      <w:pPr>
        <w:pStyle w:val="Heading2"/>
      </w:pPr>
      <w:r>
        <w:t>8. Confidentiality and privacy</w:t>
      </w:r>
    </w:p>
    <w:p>
      <w:r>
        <w:t>Each party will protect confidential information and comply with applicable privacy obligations. Data-processing terms may be attached where required.</w:t>
      </w:r>
    </w:p>
    <w:p>
      <w:pPr>
        <w:pStyle w:val="Heading2"/>
      </w:pPr>
      <w:r>
        <w:t>9. Third-party systems</w:t>
      </w:r>
    </w:p>
    <w:p>
      <w:r>
        <w:t>The Practice is not responsible for outages, data loss, policy changes, or errors caused by banks, accounting platforms, payroll providers, payment processors, or other third parties.</w:t>
      </w:r>
    </w:p>
    <w:p>
      <w:pPr>
        <w:pStyle w:val="Heading2"/>
      </w:pPr>
      <w:r>
        <w:t>10. Records and retention</w:t>
      </w:r>
    </w:p>
    <w:p>
      <w:r>
        <w:t>Client owns and retains responsibility for original records. The Practice may retain working files according to its retention policy and applicable law.</w:t>
      </w:r>
    </w:p>
    <w:p>
      <w:pPr>
        <w:pStyle w:val="Heading2"/>
      </w:pPr>
      <w:r>
        <w:t>11. Termination</w:t>
      </w:r>
    </w:p>
    <w:p>
      <w:r>
        <w:t>Either party may terminate with [NUMBER] days' written notice. Client will pay for completed work, work in progress, and non-cancellable costs.</w:t>
      </w:r>
    </w:p>
    <w:p>
      <w:pPr>
        <w:pStyle w:val="Heading2"/>
      </w:pPr>
      <w:r>
        <w:t>12. Limitation and disputes</w:t>
      </w:r>
    </w:p>
    <w:p>
      <w:r>
        <w:t>Liability limits, governing law, venue, and dispute procedures must be customized and reviewed for the applicable jurisdiction.</w:t>
      </w:r>
    </w:p>
    <w:p>
      <w:pPr>
        <w:pStyle w:val="Heading2"/>
      </w:pPr>
      <w:r>
        <w:t>13. Entire agreement</w:t>
      </w:r>
    </w:p>
    <w:p>
      <w:r>
        <w:t>This Agreement and attachments are the entire agreement and may be changed only in a signed writing.</w:t>
      </w:r>
    </w:p>
    <w:p>
      <w:pPr>
        <w:pStyle w:val="Heading1"/>
      </w:pPr>
      <w:r>
        <w:t>Scope of 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192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Start date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 ]</w:t>
            </w:r>
          </w:p>
        </w:tc>
      </w:tr>
      <w:tr>
        <w:tc>
          <w:tcPr>
            <w:tcW w:type="dxa" w:w="288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Software</w:t>
            </w:r>
          </w:p>
        </w:tc>
        <w:tc>
          <w:tcPr>
            <w:tcW w:type="dxa" w:w="6192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 ]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Accounts / volume assumption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 ]</w:t>
            </w:r>
          </w:p>
        </w:tc>
      </w:tr>
      <w:tr>
        <w:tc>
          <w:tcPr>
            <w:tcW w:type="dxa" w:w="288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Recurring services</w:t>
            </w:r>
          </w:p>
        </w:tc>
        <w:tc>
          <w:tcPr>
            <w:tcW w:type="dxa" w:w="6192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 ]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Excluded services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 ]</w:t>
            </w:r>
          </w:p>
        </w:tc>
      </w:tr>
      <w:tr>
        <w:tc>
          <w:tcPr>
            <w:tcW w:type="dxa" w:w="288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Monthly fee</w:t>
            </w:r>
          </w:p>
        </w:tc>
        <w:tc>
          <w:tcPr>
            <w:tcW w:type="dxa" w:w="6192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 ]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Close deadline</w:t>
            </w:r>
          </w:p>
        </w:tc>
        <w:tc>
          <w:tcPr>
            <w:tcW w:type="dxa" w:w="61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 ]</w:t>
            </w:r>
          </w:p>
        </w:tc>
      </w:tr>
      <w:tr>
        <w:tc>
          <w:tcPr>
            <w:tcW w:type="dxa" w:w="288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Client contact</w:t>
            </w:r>
          </w:p>
        </w:tc>
        <w:tc>
          <w:tcPr>
            <w:tcW w:type="dxa" w:w="6192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 ]</w:t>
            </w:r>
          </w:p>
        </w:tc>
      </w:tr>
    </w:tbl>
    <w:p/>
    <w:p>
      <w:pPr>
        <w:pStyle w:val="Heading1"/>
      </w:pPr>
      <w: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536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Client</w:t>
            </w:r>
          </w:p>
        </w:tc>
        <w:tc>
          <w:tcPr>
            <w:tcW w:type="dxa" w:w="4536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Practice</w:t>
            </w:r>
          </w:p>
        </w:tc>
      </w:tr>
      <w:tr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[NAME / TITLE]</w:t>
              <w:br/>
              <w:t>[SIGNATURE]</w:t>
              <w:br/>
              <w:t>[DATE]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[NAME / TITLE]</w:t>
              <w:br/>
              <w:t>[SIGNATURE]</w:t>
              <w:br/>
              <w:t>[DATE]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083"/>
        <w:sz w:val="16"/>
      </w:rPr>
      <w:t>Editable template • Customize before client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8A999"/>
        <w:sz w:val="16"/>
      </w:rPr>
      <w:t>AI SOCIAL MEDIA AGENCY 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4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A9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4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4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eldLabel">
    <w:name w:val="Field Label"/>
    <w:pPr>
      <w:spacing w:before="100" w:after="40"/>
    </w:pPr>
    <w:rPr>
      <w:rFonts w:ascii="Aptos" w:hAnsi="Aptos"/>
      <w:b/>
      <w:color w:val="63708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Editable agency operating template</dc:subject>
  <dc:creator>AI Social Media Agency 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