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CLIENT WORKBOOK</w:t>
      </w:r>
    </w:p>
    <w:p>
      <w:pPr>
        <w:pStyle w:val="Title"/>
        <w:jc w:val="center"/>
      </w:pPr>
      <w:r>
        <w:t>Client Intake &amp; Onboarding Pack</w:t>
      </w:r>
    </w:p>
    <w:p>
      <w:pPr>
        <w:spacing w:after="480"/>
        <w:jc w:val="center"/>
      </w:pPr>
      <w:r>
        <w:rPr>
          <w:color w:val="637083"/>
          <w:sz w:val="26"/>
        </w:rPr>
        <w:t>Collect the facts, files, access, and expectations needed for a clean start.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p>
      <w:pPr>
        <w:pStyle w:val="Heading1"/>
      </w:pPr>
      <w:r>
        <w:t>Business profile</w:t>
      </w:r>
    </w:p>
    <w:p>
      <w:pPr>
        <w:pStyle w:val="FieldLabel"/>
      </w:pPr>
      <w:r>
        <w:t>Legal business name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Trading name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Entity type and jurisdiction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Business address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Primary contact and approver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Fiscal year end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Industry and business model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Number of entities / locations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Accounting basis currently used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Current bookkeeping software and subscription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Heading1"/>
      </w:pPr>
      <w:r>
        <w:t>Volume and complexity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52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Average monthly bank and card transactions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Number of bank accounts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Number of credit cards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Payroll provider and employee count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Loans / lines of credit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Inventory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[YES/NO + details]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Sales channels and payment processors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Foreign currency or cross-border activity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Class, project, or location tracking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475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Last fully reconciled month</w:t>
            </w:r>
          </w:p>
        </w:tc>
        <w:tc>
          <w:tcPr>
            <w:tcW w:type="dxa" w:w="432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</w:tbl>
    <w:p/>
    <w:p>
      <w:pPr>
        <w:pStyle w:val="Heading1"/>
      </w:pPr>
      <w:r>
        <w:t>Documents requested</w:t>
      </w:r>
    </w:p>
    <w:p>
      <w:pPr>
        <w:pStyle w:val="ListBullet"/>
      </w:pPr>
      <w:r>
        <w:t>Prior-year financial statements and trial balance</w:t>
      </w:r>
    </w:p>
    <w:p>
      <w:pPr>
        <w:pStyle w:val="ListBullet"/>
      </w:pPr>
      <w:r>
        <w:t>Bank and credit-card statements from the agreed start date</w:t>
      </w:r>
    </w:p>
    <w:p>
      <w:pPr>
        <w:pStyle w:val="ListBullet"/>
      </w:pPr>
      <w:r>
        <w:t>Loan statements and amortization schedules</w:t>
      </w:r>
    </w:p>
    <w:p>
      <w:pPr>
        <w:pStyle w:val="ListBullet"/>
      </w:pPr>
      <w:r>
        <w:t>Payroll summaries and liability reports</w:t>
      </w:r>
    </w:p>
    <w:p>
      <w:pPr>
        <w:pStyle w:val="ListBullet"/>
      </w:pPr>
      <w:r>
        <w:t>Sales-tax/VAT filings and notices</w:t>
      </w:r>
    </w:p>
    <w:p>
      <w:pPr>
        <w:pStyle w:val="ListBullet"/>
      </w:pPr>
      <w:r>
        <w:t>Merchant processor and ecommerce reports</w:t>
      </w:r>
    </w:p>
    <w:p>
      <w:pPr>
        <w:pStyle w:val="ListBullet"/>
      </w:pPr>
      <w:r>
        <w:t>Fixed-asset list</w:t>
      </w:r>
    </w:p>
    <w:p>
      <w:pPr>
        <w:pStyle w:val="ListBullet"/>
      </w:pPr>
      <w:r>
        <w:t>Outstanding accounts receivable and payable</w:t>
      </w:r>
    </w:p>
    <w:p>
      <w:pPr>
        <w:pStyle w:val="ListBullet"/>
      </w:pPr>
      <w:r>
        <w:t>Tax return or tax-preparer adjusting entries where appropriate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243447"/>
                <w:sz w:val="20"/>
              </w:rPr>
              <w:t>Security</w:t>
              <w:br/>
              <w:t>Use secure portals, read-only accountant access, or an approved password manager. Never ask clients to email banking passwords.</w:t>
            </w:r>
          </w:p>
        </w:tc>
      </w:tr>
    </w:tbl>
    <w:p>
      <w:pPr>
        <w:spacing w:after="0"/>
      </w:pPr>
    </w:p>
    <w:p>
      <w:pPr>
        <w:pStyle w:val="Heading1"/>
      </w:pPr>
      <w:r>
        <w:t>Kickoff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12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76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Agreed approach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Close deadline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331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Document cutoff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Question/approval contact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331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Communication channel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Report package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331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Escalation process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