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80"/>
        <w:jc w:val="center"/>
      </w:pPr>
      <w:r>
        <w:rPr>
          <w:rFonts w:ascii="Aptos" w:hAnsi="Aptos"/>
          <w:b/>
          <w:color w:val="18A999"/>
          <w:sz w:val="20"/>
        </w:rPr>
        <w:t>INTERNAL OPERATIONS LIBRARY</w:t>
      </w:r>
    </w:p>
    <w:p>
      <w:pPr>
        <w:pStyle w:val="Title"/>
        <w:jc w:val="center"/>
      </w:pPr>
      <w:r>
        <w:t>Bookkeeping SOPs &amp; Checklists</w:t>
      </w:r>
    </w:p>
    <w:p>
      <w:pPr>
        <w:spacing w:after="480"/>
        <w:jc w:val="center"/>
      </w:pPr>
      <w:r>
        <w:rPr>
          <w:color w:val="637083"/>
          <w:sz w:val="26"/>
        </w:rPr>
        <w:t>A repeatable operating manual for onboarding, monthly close, quality control, and document collection.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0"/>
      </w:tblGrid>
      <w:tr>
        <w:tc>
          <w:tcPr>
            <w:tcW w:type="dxa" w:w="9792"/>
            <w:shd w:fill="EAF7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43A"/>
                <w:sz w:val="21"/>
              </w:rPr>
              <w:t>Replace all [BRACKETED TEXT] with your agency details before use.</w:t>
            </w:r>
          </w:p>
        </w:tc>
      </w:tr>
    </w:tbl>
    <w:p>
      <w:r>
        <w:br w:type="page"/>
      </w:r>
    </w:p>
    <w:p>
      <w:pPr>
        <w:pStyle w:val="Heading1"/>
      </w:pPr>
      <w:r>
        <w:t>Client onboarding SOP</w:t>
      </w:r>
    </w:p>
    <w:p>
      <w:pPr>
        <w:pStyle w:val="ListNumber"/>
      </w:pPr>
      <w:r>
        <w:t>Confirm signed agreement and initial payment.</w:t>
      </w:r>
    </w:p>
    <w:p>
      <w:pPr>
        <w:pStyle w:val="ListNumber"/>
      </w:pPr>
      <w:r>
        <w:t>Create client folder, portal, recurring tasks, and contact record.</w:t>
      </w:r>
    </w:p>
    <w:p>
      <w:pPr>
        <w:pStyle w:val="ListNumber"/>
      </w:pPr>
      <w:r>
        <w:t>Request secure accountant/user access and required source documents.</w:t>
      </w:r>
    </w:p>
    <w:p>
      <w:pPr>
        <w:pStyle w:val="ListNumber"/>
      </w:pPr>
      <w:r>
        <w:t>Capture entity, fiscal year, accounting basis, software, accounts, integrations, payroll, taxes, and reporting requirements.</w:t>
      </w:r>
    </w:p>
    <w:p>
      <w:pPr>
        <w:pStyle w:val="ListNumber"/>
      </w:pPr>
      <w:r>
        <w:t>Review opening balances and last reconciled period.</w:t>
      </w:r>
    </w:p>
    <w:p>
      <w:pPr>
        <w:pStyle w:val="ListNumber"/>
      </w:pPr>
      <w:r>
        <w:t>Document known issues, cleanup scope, deadlines, and responsibilities.</w:t>
      </w:r>
    </w:p>
    <w:p>
      <w:pPr>
        <w:pStyle w:val="ListNumber"/>
      </w:pPr>
      <w:r>
        <w:t>Run kickoff and send a written action summary.</w:t>
      </w:r>
    </w:p>
    <w:p>
      <w:pPr>
        <w:pStyle w:val="Heading1"/>
      </w:pPr>
      <w:r>
        <w:t>Monthly close checklist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936"/>
            <w:shd w:fill="17243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8136"/>
            <w:shd w:fill="17243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1</w:t>
            </w:r>
          </w:p>
        </w:tc>
        <w:tc>
          <w:tcPr>
            <w:tcW w:type="dxa" w:w="81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Confirm all bank, card, loan, payroll, and processor data is available.</w:t>
            </w:r>
          </w:p>
        </w:tc>
      </w:tr>
      <w:tr>
        <w:tc>
          <w:tcPr>
            <w:tcW w:type="dxa" w:w="936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2</w:t>
            </w:r>
          </w:p>
        </w:tc>
        <w:tc>
          <w:tcPr>
            <w:tcW w:type="dxa" w:w="8136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Import/sync transactions and investigate duplicates or failed feeds.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3</w:t>
            </w:r>
          </w:p>
        </w:tc>
        <w:tc>
          <w:tcPr>
            <w:tcW w:type="dxa" w:w="81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Categorize transactions and review uncategorized/suspense activity.</w:t>
            </w:r>
          </w:p>
        </w:tc>
      </w:tr>
      <w:tr>
        <w:tc>
          <w:tcPr>
            <w:tcW w:type="dxa" w:w="936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4</w:t>
            </w:r>
          </w:p>
        </w:tc>
        <w:tc>
          <w:tcPr>
            <w:tcW w:type="dxa" w:w="8136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Reconcile every bank and credit-card account to statements.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5</w:t>
            </w:r>
          </w:p>
        </w:tc>
        <w:tc>
          <w:tcPr>
            <w:tcW w:type="dxa" w:w="81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Reconcile loans, payroll liabilities, sales-tax/VAT liabilities, and clearing accounts.</w:t>
            </w:r>
          </w:p>
        </w:tc>
      </w:tr>
      <w:tr>
        <w:tc>
          <w:tcPr>
            <w:tcW w:type="dxa" w:w="936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6</w:t>
            </w:r>
          </w:p>
        </w:tc>
        <w:tc>
          <w:tcPr>
            <w:tcW w:type="dxa" w:w="8136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Review accounts receivable, accounts payable, negative balances, and stale items.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7</w:t>
            </w:r>
          </w:p>
        </w:tc>
        <w:tc>
          <w:tcPr>
            <w:tcW w:type="dxa" w:w="81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Record approved accruals, prepayments, depreciation, or adjusting entries within scope.</w:t>
            </w:r>
          </w:p>
        </w:tc>
      </w:tr>
      <w:tr>
        <w:tc>
          <w:tcPr>
            <w:tcW w:type="dxa" w:w="936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8</w:t>
            </w:r>
          </w:p>
        </w:tc>
        <w:tc>
          <w:tcPr>
            <w:tcW w:type="dxa" w:w="8136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Compare current month with prior month/budget and investigate material variances.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9</w:t>
            </w:r>
          </w:p>
        </w:tc>
        <w:tc>
          <w:tcPr>
            <w:tcW w:type="dxa" w:w="81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Run balance-sheet integrity and reasonableness checks.</w:t>
            </w:r>
          </w:p>
        </w:tc>
      </w:tr>
      <w:tr>
        <w:tc>
          <w:tcPr>
            <w:tcW w:type="dxa" w:w="936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10</w:t>
            </w:r>
          </w:p>
        </w:tc>
        <w:tc>
          <w:tcPr>
            <w:tcW w:type="dxa" w:w="8136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Prepare client questions and obtain documented answers.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11</w:t>
            </w:r>
          </w:p>
        </w:tc>
        <w:tc>
          <w:tcPr>
            <w:tcW w:type="dxa" w:w="81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Finalize P&amp;L, balance sheet, cash summary, and agreed reports.</w:t>
            </w:r>
          </w:p>
        </w:tc>
      </w:tr>
      <w:tr>
        <w:tc>
          <w:tcPr>
            <w:tcW w:type="dxa" w:w="936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12</w:t>
            </w:r>
          </w:p>
        </w:tc>
        <w:tc>
          <w:tcPr>
            <w:tcW w:type="dxa" w:w="8136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Complete reviewer sign-off, lock/close period if appropriate, and deliver reports.</w:t>
            </w:r>
          </w:p>
        </w:tc>
      </w:tr>
    </w:tbl>
    <w:p/>
    <w:p>
      <w:pPr>
        <w:pStyle w:val="Heading1"/>
      </w:pPr>
      <w:r>
        <w:t>Tax document checklist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160"/>
            <w:shd w:fill="17243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6912"/>
            <w:shd w:fill="17243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Typical documents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Income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Sales summaries, invoices, merchant reports, platform statements, interest income</w:t>
            </w:r>
          </w:p>
        </w:tc>
      </w:tr>
      <w:tr>
        <w:tc>
          <w:tcPr>
            <w:tcW w:type="dxa" w:w="2160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Banking</w:t>
            </w:r>
          </w:p>
        </w:tc>
        <w:tc>
          <w:tcPr>
            <w:tcW w:type="dxa" w:w="6912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Year-end bank and credit-card statements, reconciliations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Payroll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Annual payroll summaries, employee/contractor reports, payroll tax filings</w:t>
            </w:r>
          </w:p>
        </w:tc>
      </w:tr>
      <w:tr>
        <w:tc>
          <w:tcPr>
            <w:tcW w:type="dxa" w:w="2160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Expenses</w:t>
            </w:r>
          </w:p>
        </w:tc>
        <w:tc>
          <w:tcPr>
            <w:tcW w:type="dxa" w:w="6912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Major receipts, insurance, rent, professional fees, travel, vehicle records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Assets and debt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Asset purchases/disposals, loan statements, financing agreements</w:t>
            </w:r>
          </w:p>
        </w:tc>
      </w:tr>
      <w:tr>
        <w:tc>
          <w:tcPr>
            <w:tcW w:type="dxa" w:w="2160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Tax and compliance</w:t>
            </w:r>
          </w:p>
        </w:tc>
        <w:tc>
          <w:tcPr>
            <w:tcW w:type="dxa" w:w="6912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Prior return, estimated payments, notices, sales-tax/VAT filings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Owner activity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Contributions, draws/distributions, shareholder/partner transactions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7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243447"/>
                <w:sz w:val="20"/>
              </w:rPr>
              <w:t>Scope reminder</w:t>
              <w:br/>
              <w:t>Document collection does not replace tax advice. Confirm the final list and deadlines with the client's qualified tax professional.</w:t>
            </w:r>
          </w:p>
        </w:tc>
      </w:tr>
    </w:tbl>
    <w:p>
      <w:pPr>
        <w:spacing w:after="0"/>
      </w:pPr>
    </w:p>
    <w:p>
      <w:pPr>
        <w:pStyle w:val="Heading1"/>
      </w:pPr>
      <w:r>
        <w:t>Quality-control review</w:t>
      </w:r>
    </w:p>
    <w:p>
      <w:pPr>
        <w:pStyle w:val="ListBullet"/>
      </w:pPr>
      <w:r>
        <w:t>All statement balances agree to the ledger</w:t>
      </w:r>
    </w:p>
    <w:p>
      <w:pPr>
        <w:pStyle w:val="ListBullet"/>
      </w:pPr>
      <w:r>
        <w:t>No unexplained suspense or uncategorized balances</w:t>
      </w:r>
    </w:p>
    <w:p>
      <w:pPr>
        <w:pStyle w:val="ListBullet"/>
      </w:pPr>
      <w:r>
        <w:t>Opening balances and retained earnings are understood</w:t>
      </w:r>
    </w:p>
    <w:p>
      <w:pPr>
        <w:pStyle w:val="ListBullet"/>
      </w:pPr>
      <w:r>
        <w:t>Negative assets/liabilities and unusual balances are investigated</w:t>
      </w:r>
    </w:p>
    <w:p>
      <w:pPr>
        <w:pStyle w:val="ListBullet"/>
      </w:pPr>
      <w:r>
        <w:t>Payroll, loans, sales tax/VAT, and processor clearing accounts are reconciled</w:t>
      </w:r>
    </w:p>
    <w:p>
      <w:pPr>
        <w:pStyle w:val="ListBullet"/>
      </w:pPr>
      <w:r>
        <w:t>Material variances have explanations</w:t>
      </w:r>
    </w:p>
    <w:p>
      <w:pPr>
        <w:pStyle w:val="ListBullet"/>
      </w:pPr>
      <w:r>
        <w:t>Reports use the correct period, basis, entity, and comparison</w:t>
      </w:r>
    </w:p>
    <w:p>
      <w:pPr>
        <w:pStyle w:val="ListBullet"/>
      </w:pPr>
      <w:r>
        <w:t>Questions, judgments, and client approvals are documented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24" w:bottom="1123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37083"/>
        <w:sz w:val="16"/>
      </w:rPr>
      <w:t>Editable template • Customize before client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8A999"/>
        <w:sz w:val="16"/>
      </w:rPr>
      <w:t>AI SOCIAL MEDIA AGENCY 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43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A99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24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24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eldLabel">
    <w:name w:val="Field Label"/>
    <w:pPr>
      <w:spacing w:before="100" w:after="40"/>
    </w:pPr>
    <w:rPr>
      <w:rFonts w:ascii="Aptos" w:hAnsi="Aptos"/>
      <w:b/>
      <w:color w:val="63708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Editable agency operating template</dc:subject>
  <dc:creator>AI Social Media Agency 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