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0F3460"/>
          <w:sz w:val="28"/>
        </w:rPr>
        <w:t>Agency Compliance Checklist</w:t>
      </w:r>
    </w:p>
    <w:p>
      <w:pPr/>
      <w:r>
        <w:rPr>
          <w:color w:val="7F8C8D"/>
          <w:sz w:val="20"/>
        </w:rPr>
        <w:t>Insurance Agency OS | Annual Compliance Review for Independent Agencies</w:t>
      </w:r>
    </w:p>
    <w:p/>
    <w:p>
      <w:pPr>
        <w:pStyle w:val="Heading1"/>
      </w:pPr>
      <w:r>
        <w:rPr>
          <w:color w:val="0F3460"/>
        </w:rPr>
        <w:t>License Maintenance</w:t>
      </w:r>
    </w:p>
    <w:p>
      <w:pPr>
        <w:pStyle w:val="ListBullet"/>
      </w:pPr>
      <w:r>
        <w:t>All agent licenses current and in good standing in all states you write business</w:t>
      </w:r>
    </w:p>
    <w:p>
      <w:pPr>
        <w:pStyle w:val="ListBullet"/>
      </w:pPr>
      <w:r>
        <w:t>Continuing education credits completed and documented</w:t>
      </w:r>
    </w:p>
    <w:p>
      <w:pPr>
        <w:pStyle w:val="ListBullet"/>
      </w:pPr>
      <w:r>
        <w:t>License renewal dates logged in your calendar with 90-day advance reminder</w:t>
      </w:r>
    </w:p>
    <w:p>
      <w:pPr>
        <w:pStyle w:val="ListBullet"/>
      </w:pPr>
      <w:r>
        <w:t>All licensed staff verified — no lapsed licenses</w:t>
      </w:r>
    </w:p>
    <w:p>
      <w:pPr>
        <w:pStyle w:val="ListBullet"/>
      </w:pPr>
      <w:r>
        <w:t>Non-resident license status confirmed for states you write in</w:t>
      </w:r>
    </w:p>
    <w:p>
      <w:pPr>
        <w:pStyle w:val="Heading1"/>
      </w:pPr>
      <w:r>
        <w:rPr>
          <w:color w:val="0F3460"/>
        </w:rPr>
        <w:t>Carrier Appointments</w:t>
      </w:r>
    </w:p>
    <w:p>
      <w:pPr>
        <w:pStyle w:val="ListBullet"/>
      </w:pPr>
      <w:r>
        <w:t>All carrier appointment agreements reviewed for compliance requirements</w:t>
      </w:r>
    </w:p>
    <w:p>
      <w:pPr>
        <w:pStyle w:val="ListBullet"/>
      </w:pPr>
      <w:r>
        <w:t>No writing in lines/states for which you're not appointed</w:t>
      </w:r>
    </w:p>
    <w:p>
      <w:pPr>
        <w:pStyle w:val="ListBullet"/>
      </w:pPr>
      <w:r>
        <w:t>Appointment renewal dates tracked</w:t>
      </w:r>
    </w:p>
    <w:p>
      <w:pPr>
        <w:pStyle w:val="ListBullet"/>
      </w:pPr>
      <w:r>
        <w:t>Any terminated appointments properly communicated to affected clients</w:t>
      </w:r>
    </w:p>
    <w:p>
      <w:pPr>
        <w:pStyle w:val="Heading1"/>
      </w:pPr>
      <w:r>
        <w:rPr>
          <w:color w:val="0F3460"/>
        </w:rPr>
        <w:t>Agency Operations</w:t>
      </w:r>
    </w:p>
    <w:p>
      <w:pPr>
        <w:pStyle w:val="ListBullet"/>
      </w:pPr>
      <w:r>
        <w:t>E&amp;O coverage current — limits adequate for your book size</w:t>
      </w:r>
    </w:p>
    <w:p>
      <w:pPr>
        <w:pStyle w:val="ListBullet"/>
      </w:pPr>
      <w:r>
        <w:t>Premium trust account reconciled monthly</w:t>
      </w:r>
    </w:p>
    <w:p>
      <w:pPr>
        <w:pStyle w:val="ListBullet"/>
      </w:pPr>
      <w:r>
        <w:t>Client funds never commingled with agency operating funds</w:t>
      </w:r>
    </w:p>
    <w:p>
      <w:pPr>
        <w:pStyle w:val="ListBullet"/>
      </w:pPr>
      <w:r>
        <w:t>Client data security measures in place (encryption, access controls, backup)</w:t>
      </w:r>
    </w:p>
    <w:p>
      <w:pPr>
        <w:pStyle w:val="ListBullet"/>
      </w:pPr>
      <w:r>
        <w:t>Privacy policy updated and available to clients</w:t>
      </w:r>
    </w:p>
    <w:p>
      <w:pPr>
        <w:pStyle w:val="Heading1"/>
      </w:pPr>
      <w:r>
        <w:rPr>
          <w:color w:val="0F3460"/>
        </w:rPr>
        <w:t>Sales and Marketing Compliance</w:t>
      </w:r>
    </w:p>
    <w:p>
      <w:pPr>
        <w:pStyle w:val="ListBullet"/>
      </w:pPr>
      <w:r>
        <w:t>No misrepresentation in advertising — all claims factual and verifiable</w:t>
      </w:r>
    </w:p>
    <w:p>
      <w:pPr>
        <w:pStyle w:val="ListBullet"/>
      </w:pPr>
      <w:r>
        <w:t>Carrier logos and names used only as permitted under appointment agreements</w:t>
      </w:r>
    </w:p>
    <w:p>
      <w:pPr>
        <w:pStyle w:val="ListBullet"/>
      </w:pPr>
      <w:r>
        <w:t>Social media and website reviewed for compliance with insurance advertising rules</w:t>
      </w:r>
    </w:p>
    <w:p>
      <w:pPr>
        <w:pStyle w:val="ListBullet"/>
      </w:pPr>
      <w:r>
        <w:t>Testimonials reviewed for compliance (no guaranteed outcomes claims)</w:t>
      </w:r>
    </w:p>
    <w:p>
      <w:pPr>
        <w:pStyle w:val="ListBullet"/>
      </w:pPr>
      <w:r>
        <w:t>CAN-SPAM / TCPA compliance for email and text marketing</w:t>
      </w:r>
    </w:p>
    <w:p>
      <w:pPr>
        <w:pStyle w:val="Heading1"/>
      </w:pPr>
      <w:r>
        <w:rPr>
          <w:color w:val="0F3460"/>
        </w:rPr>
        <w:t>Claims and Service Compliance</w:t>
      </w:r>
    </w:p>
    <w:p>
      <w:pPr>
        <w:pStyle w:val="ListBullet"/>
      </w:pPr>
      <w:r>
        <w:t>Claims handling procedures documented and followed</w:t>
      </w:r>
    </w:p>
    <w:p>
      <w:pPr>
        <w:pStyle w:val="ListBullet"/>
      </w:pPr>
      <w:r>
        <w:t>No unauthorized claims adjusting or settlement negotiations</w:t>
      </w:r>
    </w:p>
    <w:p>
      <w:pPr>
        <w:pStyle w:val="ListBullet"/>
      </w:pPr>
      <w:r>
        <w:t>Client complaints logged, responded to, and resolved within required timeframes</w:t>
      </w:r>
    </w:p>
    <w:p>
      <w:pPr>
        <w:pStyle w:val="ListBullet"/>
      </w:pPr>
      <w:r>
        <w:t>All complaints reported to state insurance department if required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