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Client Expectations Document</w:t>
      </w:r>
    </w:p>
    <w:p>
      <w:pPr/>
      <w:r>
        <w:rPr>
          <w:color w:val="7F8C8D"/>
          <w:sz w:val="20"/>
        </w:rPr>
        <w:t>Set clear expectations to prevent frustration and build trust.</w:t>
      </w:r>
    </w:p>
    <w:p>
      <w:pPr>
        <w:pStyle w:val="Heading1"/>
      </w:pPr>
      <w:r>
        <w:t>What We Commit To You</w:t>
      </w:r>
    </w:p>
    <w:p>
      <w:pPr>
        <w:pStyle w:val="ListBullet"/>
      </w:pPr>
      <w:r>
        <w:t>Proactive updates at every milestone — you will never need to ask for a status</w:t>
      </w:r>
    </w:p>
    <w:p>
      <w:pPr>
        <w:pStyle w:val="ListBullet"/>
      </w:pPr>
      <w:r>
        <w:t>Honest advice even when it is not what you want to hear</w:t>
      </w:r>
    </w:p>
    <w:p>
      <w:pPr>
        <w:pStyle w:val="ListBullet"/>
      </w:pPr>
      <w:r>
        <w:t>Response to messages within [X] business hours</w:t>
      </w:r>
    </w:p>
    <w:p>
      <w:pPr>
        <w:pStyle w:val="ListBullet"/>
      </w:pPr>
      <w:r>
        <w:t>Full transparency on rates, fees, and terms — no surprises at closing</w:t>
      </w:r>
    </w:p>
    <w:p>
      <w:pPr>
        <w:pStyle w:val="Heading1"/>
      </w:pPr>
      <w:r>
        <w:t>What We Need From You</w:t>
      </w:r>
    </w:p>
    <w:p>
      <w:pPr>
        <w:pStyle w:val="ListBullet"/>
      </w:pPr>
      <w:r>
        <w:t>Documents uploaded within [X] business days of request</w:t>
      </w:r>
    </w:p>
    <w:p>
      <w:pPr>
        <w:pStyle w:val="ListBullet"/>
      </w:pPr>
      <w:r>
        <w:t>Approval of the loan estimate within 3 business days</w:t>
      </w:r>
    </w:p>
    <w:p>
      <w:pPr>
        <w:pStyle w:val="ListBullet"/>
      </w:pPr>
      <w:r>
        <w:t>Availability for a 30-minute call during underwriting if conditions arise</w:t>
      </w:r>
    </w:p>
    <w:p>
      <w:pPr>
        <w:pStyle w:val="ListBullet"/>
      </w:pPr>
      <w:r>
        <w:t>No major financial changes without informing us first</w:t>
      </w:r>
    </w:p>
    <w:p>
      <w:pPr>
        <w:pStyle w:val="ListBullet"/>
      </w:pPr>
      <w:r>
        <w:t>Respond to requests promptly — delays in your response delay your close date</w:t>
      </w:r>
    </w:p>
    <w:p>
      <w:pPr>
        <w:pStyle w:val="Heading1"/>
      </w:pPr>
      <w:r>
        <w:t>How Decisions Are Made</w:t>
      </w:r>
    </w:p>
    <w:p>
      <w:pPr>
        <w:pStyle w:val="ListBullet"/>
      </w:pPr>
      <w:r>
        <w:t>Lender selects programs based on your file — we recommend, you decide</w:t>
      </w:r>
    </w:p>
    <w:p>
      <w:pPr>
        <w:pStyle w:val="ListBullet"/>
      </w:pPr>
      <w:r>
        <w:t>Rate locks: we advise, you authorise in writing</w:t>
      </w:r>
    </w:p>
    <w:p>
      <w:pPr>
        <w:pStyle w:val="ListBullet"/>
      </w:pPr>
      <w:r>
        <w:t>Condition responses: we prepare, you review and sign within [X] hours</w:t>
      </w:r>
    </w:p>
    <w:p>
      <w:pPr>
        <w:pStyle w:val="Heading1"/>
      </w:pPr>
      <w:r>
        <w:t>Timeline Realities</w:t>
      </w:r>
    </w:p>
    <w:p>
      <w:pPr>
        <w:pStyle w:val="ListBullet"/>
      </w:pPr>
      <w:r>
        <w:t>Timelines are estimates — underwriting and appraisal can extend the process</w:t>
      </w:r>
    </w:p>
    <w:p>
      <w:pPr>
        <w:pStyle w:val="ListBullet"/>
      </w:pPr>
      <w:r>
        <w:t>Every condition added by underwriting adds [X–X] business days</w:t>
      </w:r>
    </w:p>
    <w:p>
      <w:pPr>
        <w:pStyle w:val="ListBullet"/>
      </w:pPr>
      <w:r>
        <w:t>Weekend and holiday blackouts affect lock and closing 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