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Lender Selection Framework</w:t>
      </w:r>
    </w:p>
    <w:p>
      <w:pPr/>
      <w:r>
        <w:rPr>
          <w:color w:val="7F8C8D"/>
          <w:sz w:val="20"/>
        </w:rPr>
        <w:t>How to choose the right lender and loan product for each client.</w:t>
      </w:r>
    </w:p>
    <w:p>
      <w:pPr>
        <w:pStyle w:val="Heading1"/>
      </w:pPr>
      <w:r>
        <w:t>Key Selection Criteria</w:t>
      </w:r>
    </w:p>
    <w:p>
      <w:pPr>
        <w:pStyle w:val="ListBullet"/>
      </w:pPr>
      <w:r>
        <w:t>Rate competitiveness: spot check 3 lenders for the exact scenario</w:t>
      </w:r>
    </w:p>
    <w:p>
      <w:pPr>
        <w:pStyle w:val="ListBullet"/>
      </w:pPr>
      <w:r>
        <w:t>Product availability: FHA, VA, USDA, jumbo, bank statement, DSCR</w:t>
      </w:r>
    </w:p>
    <w:p>
      <w:pPr>
        <w:pStyle w:val="ListBullet"/>
      </w:pPr>
      <w:r>
        <w:t>Turn time: current underwriting turnaround (ask your AE weekly)</w:t>
      </w:r>
    </w:p>
    <w:p>
      <w:pPr>
        <w:pStyle w:val="ListBullet"/>
      </w:pPr>
      <w:r>
        <w:t>Overlay policy: how close to guidelines do they go vs. strict agency rules</w:t>
      </w:r>
    </w:p>
    <w:p>
      <w:pPr>
        <w:pStyle w:val="ListBullet"/>
      </w:pPr>
      <w:r>
        <w:t>Relationship: AEs who respond quickly, escalate issues, and communicate changes</w:t>
      </w:r>
    </w:p>
    <w:p>
      <w:pPr>
        <w:pStyle w:val="Heading1"/>
      </w:pPr>
      <w:r>
        <w:t>Loan Product Guide</w:t>
      </w:r>
    </w:p>
    <w:p>
      <w:pPr>
        <w:pStyle w:val="ListBullet"/>
      </w:pPr>
      <w:r>
        <w:t>Conventional: FICO 620+, 3 to 20% down, best rates for strong borrowers</w:t>
      </w:r>
    </w:p>
    <w:p>
      <w:pPr>
        <w:pStyle w:val="ListBullet"/>
      </w:pPr>
      <w:r>
        <w:t>FHA: FICO 580+, 3.5% down, MIP for life of loan if under 10% down, up to 57% DTI</w:t>
      </w:r>
    </w:p>
    <w:p>
      <w:pPr>
        <w:pStyle w:val="ListBullet"/>
      </w:pPr>
      <w:r>
        <w:t>VA: eligible veterans, 0% down, no PMI, competitive rates, funding fee applies</w:t>
      </w:r>
    </w:p>
    <w:p>
      <w:pPr>
        <w:pStyle w:val="ListBullet"/>
      </w:pPr>
      <w:r>
        <w:t>USDA: rural and suburban areas, 0% down, income limits apply, lower MIP than FHA</w:t>
      </w:r>
    </w:p>
    <w:p>
      <w:pPr>
        <w:pStyle w:val="ListBullet"/>
      </w:pPr>
      <w:r>
        <w:t>Jumbo: above conforming limit, stricter underwriting, 10 to 20% down, strong reserves</w:t>
      </w:r>
    </w:p>
    <w:p>
      <w:pPr>
        <w:pStyle w:val="ListBullet"/>
      </w:pPr>
      <w:r>
        <w:t>Bank Statement: self-employed borrowers, 12 to 24 months statements, higher rate premium</w:t>
      </w:r>
    </w:p>
    <w:p>
      <w:pPr>
        <w:pStyle w:val="Heading1"/>
      </w:pPr>
      <w:r>
        <w:t>Decision Matrix</w:t>
      </w:r>
    </w:p>
    <w:p>
      <w:pPr>
        <w:pStyle w:val="ListBullet"/>
      </w:pPr>
      <w:r>
        <w:t>FICO 620+, 5%+ down, W-2 income: Conventional</w:t>
      </w:r>
    </w:p>
    <w:p>
      <w:pPr>
        <w:pStyle w:val="ListBullet"/>
      </w:pPr>
      <w:r>
        <w:t>FICO 580+, limited down payment: FHA</w:t>
      </w:r>
    </w:p>
    <w:p>
      <w:pPr>
        <w:pStyle w:val="ListBullet"/>
      </w:pPr>
      <w:r>
        <w:t>Eligible veteran with certificate of eligibility: VA first</w:t>
      </w:r>
    </w:p>
    <w:p>
      <w:pPr>
        <w:pStyle w:val="ListBullet"/>
      </w:pPr>
      <w:r>
        <w:t>Self-employed 2+ years, good income: Bank statement or full-doc if tax income qualifies</w:t>
      </w:r>
    </w:p>
    <w:p>
      <w:pPr>
        <w:pStyle w:val="ListBullet"/>
      </w:pPr>
      <w:r>
        <w:t>Qualifying rural area, income under limit: USDA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