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Mortgage Compliance Checklist</w:t>
      </w:r>
    </w:p>
    <w:p>
      <w:pPr/>
      <w:r>
        <w:rPr>
          <w:color w:val="7F8C8D"/>
          <w:sz w:val="20"/>
        </w:rPr>
        <w:t>Key regulatory requirements for residential mortgage transactions. Not legal advice.</w:t>
      </w:r>
    </w:p>
    <w:p>
      <w:pPr>
        <w:pStyle w:val="Heading1"/>
      </w:pPr>
      <w:r>
        <w:t>RESPA — Real Estate Settlement Procedures Act</w:t>
      </w:r>
    </w:p>
    <w:p>
      <w:pPr>
        <w:pStyle w:val="ListBullet"/>
      </w:pPr>
      <w:r>
        <w:t>Loan estimate issued within 3 business days of application</w:t>
      </w:r>
    </w:p>
    <w:p>
      <w:pPr>
        <w:pStyle w:val="ListBullet"/>
      </w:pPr>
      <w:r>
        <w:t>Closing disclosure provided at least 3 business days before closing</w:t>
      </w:r>
    </w:p>
    <w:p>
      <w:pPr>
        <w:pStyle w:val="ListBullet"/>
      </w:pPr>
      <w:r>
        <w:t>No kickbacks or unearned fees in settlement service referrals</w:t>
      </w:r>
    </w:p>
    <w:p>
      <w:pPr>
        <w:pStyle w:val="ListBullet"/>
      </w:pPr>
      <w:r>
        <w:t>Affiliated business arrangement disclosures provided if applicable</w:t>
      </w:r>
    </w:p>
    <w:p>
      <w:pPr>
        <w:pStyle w:val="Heading1"/>
      </w:pPr>
      <w:r>
        <w:t>TILA — Truth in Lending Act</w:t>
      </w:r>
    </w:p>
    <w:p>
      <w:pPr>
        <w:pStyle w:val="ListBullet"/>
      </w:pPr>
      <w:r>
        <w:t>APR, finance charge, amount financed, and total of payments disclosed</w:t>
      </w:r>
    </w:p>
    <w:p>
      <w:pPr>
        <w:pStyle w:val="ListBullet"/>
      </w:pPr>
      <w:r>
        <w:t>Right of rescission notice for refinances — 3-day right</w:t>
      </w:r>
    </w:p>
    <w:p>
      <w:pPr>
        <w:pStyle w:val="ListBullet"/>
      </w:pPr>
      <w:r>
        <w:t>HOEPA thresholds checked for high-cost mortgage triggers</w:t>
      </w:r>
    </w:p>
    <w:p>
      <w:pPr>
        <w:pStyle w:val="Heading1"/>
      </w:pPr>
      <w:r>
        <w:t>ECOA — Equal Credit Opportunity Act</w:t>
      </w:r>
    </w:p>
    <w:p>
      <w:pPr>
        <w:pStyle w:val="ListBullet"/>
      </w:pPr>
      <w:r>
        <w:t>No discrimination based on protected classes</w:t>
      </w:r>
    </w:p>
    <w:p>
      <w:pPr>
        <w:pStyle w:val="ListBullet"/>
      </w:pPr>
      <w:r>
        <w:t>Adverse action notices sent within 30 days of application decision</w:t>
      </w:r>
    </w:p>
    <w:p>
      <w:pPr>
        <w:pStyle w:val="Heading1"/>
      </w:pPr>
      <w:r>
        <w:t>TRID — Know Before You Owe</w:t>
      </w:r>
    </w:p>
    <w:p>
      <w:pPr>
        <w:pStyle w:val="ListBullet"/>
      </w:pPr>
      <w:r>
        <w:t>Loan estimate reflects actual costs within tolerance thresholds</w:t>
      </w:r>
    </w:p>
    <w:p>
      <w:pPr>
        <w:pStyle w:val="ListBullet"/>
      </w:pPr>
      <w:r>
        <w:t>Changed circumstance documented before issuing revised LE</w:t>
      </w:r>
    </w:p>
    <w:p>
      <w:pPr>
        <w:pStyle w:val="ListBullet"/>
      </w:pPr>
      <w:r>
        <w:t>Closing disclosure reflects final loan terms and closing costs</w:t>
      </w:r>
    </w:p>
    <w:p>
      <w:pPr>
        <w:pStyle w:val="Heading1"/>
      </w:pPr>
      <w:r>
        <w:t>Record Retention</w:t>
      </w:r>
    </w:p>
    <w:p>
      <w:pPr>
        <w:pStyle w:val="ListBullet"/>
      </w:pPr>
      <w:r>
        <w:t>Loan applications: retain per applicable state law, minimum 3 years</w:t>
      </w:r>
    </w:p>
    <w:p>
      <w:pPr>
        <w:pStyle w:val="ListBullet"/>
      </w:pPr>
      <w:r>
        <w:t>HMDA data: retain 3 years</w:t>
      </w:r>
    </w:p>
    <w:p>
      <w:pPr>
        <w:pStyle w:val="ListBullet"/>
      </w:pPr>
      <w:r>
        <w:t>RESPA disclosures: retain 3 years</w:t>
      </w:r>
    </w:p>
    <w:p>
      <w:pPr>
        <w:pStyle w:val="ListBullet"/>
      </w:pPr>
      <w:r>
        <w:t>Equal credit opportunity records: retain 25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