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Record Retention Policy</w:t>
      </w:r>
    </w:p>
    <w:p>
      <w:pPr/>
      <w:r>
        <w:rPr>
          <w:color w:val="7F8C8D"/>
          <w:sz w:val="20"/>
        </w:rPr>
        <w:t>Guidelines for maintaining and disposing of mortgage records.</w:t>
      </w:r>
    </w:p>
    <w:p>
      <w:pPr>
        <w:pStyle w:val="Heading1"/>
      </w:pPr>
      <w:r>
        <w:t>Retention Schedule</w:t>
      </w:r>
    </w:p>
    <w:p>
      <w:pPr>
        <w:pStyle w:val="ListBullet"/>
      </w:pPr>
      <w:r>
        <w:t>Loan applications and supporting documents: 3 years from date of action</w:t>
      </w:r>
    </w:p>
    <w:p>
      <w:pPr>
        <w:pStyle w:val="ListBullet"/>
      </w:pPr>
      <w:r>
        <w:t>Closed loan files: 3 years minimum; 7 years recommended</w:t>
      </w:r>
    </w:p>
    <w:p>
      <w:pPr>
        <w:pStyle w:val="ListBullet"/>
      </w:pPr>
      <w:r>
        <w:t>HMDA data: 3 years</w:t>
      </w:r>
    </w:p>
    <w:p>
      <w:pPr>
        <w:pStyle w:val="ListBullet"/>
      </w:pPr>
      <w:r>
        <w:t>RESPA disclosures: 3 years from closing</w:t>
      </w:r>
    </w:p>
    <w:p>
      <w:pPr>
        <w:pStyle w:val="ListBullet"/>
      </w:pPr>
      <w:r>
        <w:t>Adverse action notices: 25 months</w:t>
      </w:r>
    </w:p>
    <w:p>
      <w:pPr>
        <w:pStyle w:val="ListBullet"/>
      </w:pPr>
      <w:r>
        <w:t>Consumer complaints: 2 years</w:t>
      </w:r>
    </w:p>
    <w:p>
      <w:pPr>
        <w:pStyle w:val="ListBullet"/>
      </w:pPr>
      <w:r>
        <w:t>Business contracts and agreements: 7 years</w:t>
      </w:r>
    </w:p>
    <w:p>
      <w:pPr>
        <w:pStyle w:val="ListBullet"/>
      </w:pPr>
      <w:r>
        <w:t>Tax records: 7 years</w:t>
      </w:r>
    </w:p>
    <w:p>
      <w:pPr>
        <w:pStyle w:val="Heading1"/>
      </w:pPr>
      <w:r>
        <w:t>Storage Requirements</w:t>
      </w:r>
    </w:p>
    <w:p>
      <w:pPr>
        <w:pStyle w:val="ListBullet"/>
      </w:pPr>
      <w:r>
        <w:t>Electronic records stored with [cloud provider] with encryption and access controls</w:t>
      </w:r>
    </w:p>
    <w:p>
      <w:pPr>
        <w:pStyle w:val="ListBullet"/>
      </w:pPr>
      <w:r>
        <w:t>Paper records stored in locked filing cabinets or off-site storage facility</w:t>
      </w:r>
    </w:p>
    <w:p>
      <w:pPr>
        <w:pStyle w:val="ListBullet"/>
      </w:pPr>
      <w:r>
        <w:t>Only authorised personnel have access to client files</w:t>
      </w:r>
    </w:p>
    <w:p>
      <w:pPr>
        <w:pStyle w:val="Heading1"/>
      </w:pPr>
      <w:r>
        <w:t>Disposal</w:t>
      </w:r>
    </w:p>
    <w:p>
      <w:pPr>
        <w:pStyle w:val="ListBullet"/>
      </w:pPr>
      <w:r>
        <w:t>Paper records: cross-cut shredding by approved vendor</w:t>
      </w:r>
    </w:p>
    <w:p>
      <w:pPr>
        <w:pStyle w:val="ListBullet"/>
      </w:pPr>
      <w:r>
        <w:t>Electronic records: secure deletion per NIST guidelines</w:t>
      </w:r>
    </w:p>
    <w:p>
      <w:pPr>
        <w:pStyle w:val="ListBullet"/>
      </w:pPr>
      <w:r>
        <w:t>Document disposal with a certificate of destruction for all records containing PII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