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Co-Marketing Guide</w:t>
      </w:r>
    </w:p>
    <w:p>
      <w:pPr/>
      <w:r>
        <w:rPr>
          <w:color w:val="7F8C8D"/>
          <w:sz w:val="20"/>
        </w:rPr>
        <w:t>Joint marketing activities to grow your referral network and reach new clients.</w:t>
      </w:r>
    </w:p>
    <w:p>
      <w:pPr>
        <w:pStyle w:val="Heading1"/>
      </w:pPr>
      <w:r>
        <w:t>Co-Hosted Buyer Seminars</w:t>
      </w:r>
    </w:p>
    <w:p>
      <w:pPr>
        <w:pStyle w:val="ListBullet"/>
      </w:pPr>
      <w:r>
        <w:t>Partner: one Realtor, one title rep, one insurance agent</w:t>
      </w:r>
    </w:p>
    <w:p>
      <w:pPr>
        <w:pStyle w:val="ListBullet"/>
      </w:pPr>
      <w:r>
        <w:t>Topic: Complete First-Time Buyer Workshop</w:t>
      </w:r>
    </w:p>
    <w:p>
      <w:pPr>
        <w:pStyle w:val="ListBullet"/>
      </w:pPr>
      <w:r>
        <w:t>Format: 90-minute virtual or in-person event</w:t>
      </w:r>
    </w:p>
    <w:p>
      <w:pPr>
        <w:pStyle w:val="ListBullet"/>
      </w:pPr>
      <w:r>
        <w:t>Promotion: shared email list, social media, Eventbrite</w:t>
      </w:r>
    </w:p>
    <w:p>
      <w:pPr>
        <w:pStyle w:val="ListBullet"/>
      </w:pPr>
      <w:r>
        <w:t>Follow-up: capture leads, send recording, book individual consultations</w:t>
      </w:r>
    </w:p>
    <w:p>
      <w:pPr>
        <w:pStyle w:val="Heading1"/>
      </w:pPr>
      <w:r>
        <w:t>Social Media Collaboration</w:t>
      </w:r>
    </w:p>
    <w:p>
      <w:pPr>
        <w:pStyle w:val="ListBullet"/>
      </w:pPr>
      <w:r>
        <w:t>Monthly collaboration post: mortgage tip from you, buying tip from the agent</w:t>
      </w:r>
    </w:p>
    <w:p>
      <w:pPr>
        <w:pStyle w:val="ListBullet"/>
      </w:pPr>
      <w:r>
        <w:t>Instagram Live or podcast episode: Q+A on the buying process</w:t>
      </w:r>
    </w:p>
    <w:p>
      <w:pPr>
        <w:pStyle w:val="ListBullet"/>
      </w:pPr>
      <w:r>
        <w:t>Case study post: anonymised success story featuring both professionals</w:t>
      </w:r>
    </w:p>
    <w:p>
      <w:pPr>
        <w:pStyle w:val="Heading1"/>
      </w:pPr>
      <w:r>
        <w:t>Email List Partnership</w:t>
      </w:r>
    </w:p>
    <w:p>
      <w:pPr>
        <w:pStyle w:val="ListBullet"/>
      </w:pPr>
      <w:r>
        <w:t>Monthly joint email newsletter to both audiences</w:t>
      </w:r>
    </w:p>
    <w:p>
      <w:pPr>
        <w:pStyle w:val="ListBullet"/>
      </w:pPr>
      <w:r>
        <w:t>Content: market update from broker, buyer tip from agent</w:t>
      </w:r>
    </w:p>
    <w:p>
      <w:pPr>
        <w:pStyle w:val="ListBullet"/>
      </w:pPr>
      <w:r>
        <w:t>Include one clear CTA: book a consultation or start your home search</w:t>
      </w:r>
    </w:p>
    <w:p>
      <w:pPr>
        <w:pStyle w:val="Heading1"/>
      </w:pPr>
      <w:r>
        <w:t>Shared Open House</w:t>
      </w:r>
    </w:p>
    <w:p>
      <w:pPr>
        <w:pStyle w:val="ListBullet"/>
      </w:pPr>
      <w:r>
        <w:t>Attend open houses of top referral agent partners</w:t>
      </w:r>
    </w:p>
    <w:p>
      <w:pPr>
        <w:pStyle w:val="ListBullet"/>
      </w:pPr>
      <w:r>
        <w:t>Bring rate sheets and pre-approval forms</w:t>
      </w:r>
    </w:p>
    <w:p>
      <w:pPr>
        <w:pStyle w:val="ListBullet"/>
      </w:pPr>
      <w:r>
        <w:t>Follow up with all attendees with a personalised email within 24 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