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Annual Mortgage Review SOP</w:t>
      </w:r>
    </w:p>
    <w:p>
      <w:pPr/>
      <w:r>
        <w:rPr>
          <w:color w:val="7F8C8D"/>
          <w:sz w:val="20"/>
        </w:rPr>
        <w:t>A structured annual review process to retain past clients and generate refinance business.</w:t>
      </w:r>
    </w:p>
    <w:p>
      <w:pPr>
        <w:pStyle w:val="Heading1"/>
      </w:pPr>
      <w:r>
        <w:t>When to Conduct</w:t>
      </w:r>
    </w:p>
    <w:p>
      <w:pPr>
        <w:pStyle w:val="ListBullet"/>
      </w:pPr>
      <w:r>
        <w:t>Every 12 months after closing, or when rates drop 0.5%+ below their current rate</w:t>
      </w:r>
    </w:p>
    <w:p>
      <w:pPr>
        <w:pStyle w:val="ListBullet"/>
      </w:pPr>
      <w:r>
        <w:t>When client experiences a life change: new baby, job change, divorce, inheritance</w:t>
      </w:r>
    </w:p>
    <w:p>
      <w:pPr>
        <w:pStyle w:val="ListBullet"/>
      </w:pPr>
      <w:r>
        <w:t>When local home values increase significantly, creating equity opportunities</w:t>
      </w:r>
    </w:p>
    <w:p>
      <w:pPr>
        <w:pStyle w:val="Heading1"/>
      </w:pPr>
      <w:r>
        <w:t>Review Agenda</w:t>
      </w:r>
    </w:p>
    <w:p>
      <w:pPr>
        <w:pStyle w:val="ListBullet"/>
      </w:pPr>
      <w:r>
        <w:t>Review their current rate and payment</w:t>
      </w:r>
    </w:p>
    <w:p>
      <w:pPr>
        <w:pStyle w:val="ListBullet"/>
      </w:pPr>
      <w:r>
        <w:t>Review current market rates for their loan scenario</w:t>
      </w:r>
    </w:p>
    <w:p>
      <w:pPr>
        <w:pStyle w:val="ListBullet"/>
      </w:pPr>
      <w:r>
        <w:t>Calculate break-even on a refinance (closing costs / monthly savings)</w:t>
      </w:r>
    </w:p>
    <w:p>
      <w:pPr>
        <w:pStyle w:val="ListBullet"/>
      </w:pPr>
      <w:r>
        <w:t>Assess their financial goals: pay off sooner, lower payment, access equity</w:t>
      </w:r>
    </w:p>
    <w:p>
      <w:pPr>
        <w:pStyle w:val="ListBullet"/>
      </w:pPr>
      <w:r>
        <w:t>Discuss cash-out options if significant equity has built up</w:t>
      </w:r>
    </w:p>
    <w:p>
      <w:pPr>
        <w:pStyle w:val="Heading1"/>
      </w:pPr>
      <w:r>
        <w:t>Refinance Opportunity Triggers</w:t>
      </w:r>
    </w:p>
    <w:p>
      <w:pPr>
        <w:pStyle w:val="ListBullet"/>
      </w:pPr>
      <w:r>
        <w:t>Rate drop: current rate vs. today is 0.5% or more</w:t>
      </w:r>
    </w:p>
    <w:p>
      <w:pPr>
        <w:pStyle w:val="ListBullet"/>
      </w:pPr>
      <w:r>
        <w:t>PMI removal: loan-to-value is at or below 80%</w:t>
      </w:r>
    </w:p>
    <w:p>
      <w:pPr>
        <w:pStyle w:val="ListBullet"/>
      </w:pPr>
      <w:r>
        <w:t>FHA to conventional: 20% equity reached, can remove MIP</w:t>
      </w:r>
    </w:p>
    <w:p>
      <w:pPr>
        <w:pStyle w:val="ListBullet"/>
      </w:pPr>
      <w:r>
        <w:t>Cash-out: major home improvement, debt consolidation, or investment opportunity</w:t>
      </w:r>
    </w:p>
    <w:p>
      <w:pPr>
        <w:pStyle w:val="ListBullet"/>
      </w:pPr>
      <w:r>
        <w:t>Shortened term: client wants to pay off faster</w:t>
      </w:r>
    </w:p>
    <w:p>
      <w:pPr>
        <w:pStyle w:val="Heading1"/>
      </w:pPr>
      <w:r>
        <w:t>Outreach Sequence</w:t>
      </w:r>
    </w:p>
    <w:p>
      <w:pPr>
        <w:pStyle w:val="ListBullet"/>
      </w:pPr>
      <w:r>
        <w:t>Email: Annual mortgage check-in — are you still in the right loan?</w:t>
      </w:r>
    </w:p>
    <w:p>
      <w:pPr>
        <w:pStyle w:val="ListBullet"/>
      </w:pPr>
      <w:r>
        <w:t>Call: 3 days after email if no response</w:t>
      </w:r>
    </w:p>
    <w:p>
      <w:pPr>
        <w:pStyle w:val="ListBullet"/>
      </w:pPr>
      <w:r>
        <w:t>Text: 7 days after call if no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