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Client Retention Playbook</w:t>
      </w:r>
    </w:p>
    <w:p>
      <w:pPr/>
      <w:r>
        <w:rPr>
          <w:color w:val="7F8C8D"/>
          <w:sz w:val="20"/>
        </w:rPr>
        <w:t>Build long-term client relationships and recurring refinance revenue.</w:t>
      </w:r>
    </w:p>
    <w:p>
      <w:pPr>
        <w:pStyle w:val="Heading1"/>
      </w:pPr>
      <w:r>
        <w:t>Value</w:t>
      </w:r>
    </w:p>
    <w:p>
      <w:pPr>
        <w:pStyle w:val="ListBullet"/>
      </w:pPr>
      <w:r>
        <w:t>Tie your work to the client's financial goals, not just loan metrics</w:t>
      </w:r>
    </w:p>
    <w:p>
      <w:pPr>
        <w:pStyle w:val="ListBullet"/>
      </w:pPr>
      <w:r>
        <w:t>Show savings: actual dollars saved on rate, payment, or term</w:t>
      </w:r>
    </w:p>
    <w:p>
      <w:pPr>
        <w:pStyle w:val="ListBullet"/>
      </w:pPr>
      <w:r>
        <w:t>Proactively surface equity opportunities</w:t>
      </w:r>
    </w:p>
    <w:p>
      <w:pPr>
        <w:pStyle w:val="Heading1"/>
      </w:pPr>
      <w:r>
        <w:t>Reliability</w:t>
      </w:r>
    </w:p>
    <w:p>
      <w:pPr>
        <w:pStyle w:val="ListBullet"/>
      </w:pPr>
      <w:r>
        <w:t>Return calls and emails within agreed time windows</w:t>
      </w:r>
    </w:p>
    <w:p>
      <w:pPr>
        <w:pStyle w:val="ListBullet"/>
      </w:pPr>
      <w:r>
        <w:t>Proactively communicate delays before clients ask</w:t>
      </w:r>
    </w:p>
    <w:p>
      <w:pPr>
        <w:pStyle w:val="ListBullet"/>
      </w:pPr>
      <w:r>
        <w:t>Send consistent touchpoints on a predictable schedule</w:t>
      </w:r>
    </w:p>
    <w:p>
      <w:pPr>
        <w:pStyle w:val="Heading1"/>
      </w:pPr>
      <w:r>
        <w:t>Relationship</w:t>
      </w:r>
    </w:p>
    <w:p>
      <w:pPr>
        <w:pStyle w:val="ListBullet"/>
      </w:pPr>
      <w:r>
        <w:t>Remember personal details: names of family members, home purchase goals</w:t>
      </w:r>
    </w:p>
    <w:p>
      <w:pPr>
        <w:pStyle w:val="ListBullet"/>
      </w:pPr>
      <w:r>
        <w:t>Acknowledge life milestones: anniversaries, new jobs, new babies</w:t>
      </w:r>
    </w:p>
    <w:p>
      <w:pPr>
        <w:pStyle w:val="ListBullet"/>
      </w:pPr>
      <w:r>
        <w:t>Ask for feedback and act on it</w:t>
      </w:r>
    </w:p>
    <w:p>
      <w:pPr>
        <w:pStyle w:val="Heading1"/>
      </w:pPr>
      <w:r>
        <w:t>Future Value</w:t>
      </w:r>
    </w:p>
    <w:p>
      <w:pPr>
        <w:pStyle w:val="ListBullet"/>
      </w:pPr>
      <w:r>
        <w:t>Maintain a rate watch for top past clients</w:t>
      </w:r>
    </w:p>
    <w:p>
      <w:pPr>
        <w:pStyle w:val="ListBullet"/>
      </w:pPr>
      <w:r>
        <w:t>Send quarterly market updates with homeowner relevant information</w:t>
      </w:r>
    </w:p>
    <w:p>
      <w:pPr>
        <w:pStyle w:val="ListBullet"/>
      </w:pPr>
      <w:r>
        <w:t>Offer annual mortgage reviews proactively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