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Chart of Accounts Guide</w:t>
      </w:r>
    </w:p>
    <w:p>
      <w:pPr/>
      <w:r>
        <w:rPr>
          <w:color w:val="7F8C8D"/>
          <w:sz w:val="20"/>
        </w:rPr>
        <w:t>Bookkeeping Business Operating System | Bookkeeping Services</w:t>
      </w:r>
    </w:p>
    <w:p>
      <w:pPr>
        <w:pStyle w:val="Heading1"/>
      </w:pPr>
      <w:r>
        <w:rPr>
          <w:color w:val="0F3460"/>
        </w:rPr>
        <w:t>WHAT IS A CHART OF ACCOUNTS</w:t>
      </w:r>
    </w:p>
    <w:p>
      <w:r>
        <w:t>The Chart of Accounts (COA) is the backbone of your client's bookkeeping system — a categorized list of every account used to track financial transactions. A well-organized COA produces clean, meaningful reports.</w:t>
      </w:r>
    </w:p>
    <w:p>
      <w:pPr>
        <w:pStyle w:val="Heading1"/>
      </w:pPr>
      <w:r>
        <w:rPr>
          <w:color w:val="0F3460"/>
        </w:rPr>
        <w:t>STANDARD COA STRUCTURE</w:t>
      </w:r>
    </w:p>
    <w:p>
      <w:pPr>
        <w:pStyle w:val="ListBullet"/>
      </w:pPr>
      <w:r>
        <w:t>1000–1999: Assets (bank accounts, receivables, inventory, fixed assets)</w:t>
      </w:r>
    </w:p>
    <w:p>
      <w:pPr>
        <w:pStyle w:val="ListBullet"/>
      </w:pPr>
      <w:r>
        <w:t>2000–2999: Liabilities (credit cards, loans, payroll liabilities, sales tax payable)</w:t>
      </w:r>
    </w:p>
    <w:p>
      <w:pPr>
        <w:pStyle w:val="ListBullet"/>
      </w:pPr>
      <w:r>
        <w:t>3000–3999: Equity (owner's equity, retained earnings, owner's draws)</w:t>
      </w:r>
    </w:p>
    <w:p>
      <w:pPr>
        <w:pStyle w:val="ListBullet"/>
      </w:pPr>
      <w:r>
        <w:t>4000–4999: Income (sales, service revenue, interest income)</w:t>
      </w:r>
    </w:p>
    <w:p>
      <w:pPr>
        <w:pStyle w:val="ListBullet"/>
      </w:pPr>
      <w:r>
        <w:t>5000–5999: Cost of Goods Sold (direct materials, direct labor, subcontractors)</w:t>
      </w:r>
    </w:p>
    <w:p>
      <w:pPr>
        <w:pStyle w:val="ListBullet"/>
      </w:pPr>
      <w:r>
        <w:t>6000–6999: Operating Expenses (rent, utilities, marketing, software, salaries)</w:t>
      </w:r>
    </w:p>
    <w:p>
      <w:pPr>
        <w:pStyle w:val="ListBullet"/>
      </w:pPr>
      <w:r>
        <w:t>7000–7999: Other Income and Expenses (non-operating items)</w:t>
      </w:r>
    </w:p>
    <w:p>
      <w:pPr>
        <w:pStyle w:val="Heading1"/>
      </w:pPr>
      <w:r>
        <w:rPr>
          <w:color w:val="0F3460"/>
        </w:rPr>
        <w:t>INDUSTRY-SPECIFIC COA NOTES</w:t>
      </w:r>
    </w:p>
    <w:p>
      <w:pPr>
        <w:pStyle w:val="ListBullet"/>
      </w:pPr>
      <w:r>
        <w:t>Restaurants: Track food vs. beverage COGS separately; add 'comps and voids' expense category</w:t>
      </w:r>
    </w:p>
    <w:p>
      <w:pPr>
        <w:pStyle w:val="ListBullet"/>
      </w:pPr>
      <w:r>
        <w:t>Contractors / Construction: Use class/project tracking for job costing; separate labor and materials by job</w:t>
      </w:r>
    </w:p>
    <w:p>
      <w:pPr>
        <w:pStyle w:val="ListBullet"/>
      </w:pPr>
      <w:r>
        <w:t>E-commerce: Track COGS by product category; separate platform fees (Amazon, Shopify) from general marketing</w:t>
      </w:r>
    </w:p>
    <w:p>
      <w:pPr>
        <w:pStyle w:val="ListBullet"/>
      </w:pPr>
      <w:r>
        <w:t>Service Businesses: Distinguish retainer revenue vs. project revenue; track contractor vs. employee costs</w:t>
      </w:r>
    </w:p>
    <w:p>
      <w:pPr>
        <w:pStyle w:val="ListBullet"/>
      </w:pPr>
      <w:r>
        <w:t>Real Estate: Track rental income by property; separate depreciation, mortgage interest, repairs</w:t>
      </w:r>
    </w:p>
    <w:p>
      <w:pPr>
        <w:pStyle w:val="Heading1"/>
      </w:pPr>
      <w:r>
        <w:rPr>
          <w:color w:val="0F3460"/>
        </w:rPr>
        <w:t>COA BEST PRACTICES</w:t>
      </w:r>
    </w:p>
    <w:p>
      <w:pPr>
        <w:pStyle w:val="ListBullet"/>
      </w:pPr>
      <w:r>
        <w:t>Keep it simple: 50–100 accounts is usually sufficient; too many = hard to analyze</w:t>
      </w:r>
    </w:p>
    <w:p>
      <w:pPr>
        <w:pStyle w:val="ListBullet"/>
      </w:pPr>
      <w:r>
        <w:t>Use sub-accounts for detail: keep parent accounts clean</w:t>
      </w:r>
    </w:p>
    <w:p>
      <w:pPr>
        <w:pStyle w:val="ListBullet"/>
      </w:pPr>
      <w:r>
        <w:t>Never delete accounts with history — merge or make inactive</w:t>
      </w:r>
    </w:p>
    <w:p>
      <w:pPr>
        <w:pStyle w:val="ListBullet"/>
      </w:pPr>
      <w:r>
        <w:t>Match COA to how the client wants to see their business (by location, product line, department)</w:t>
      </w:r>
    </w:p>
    <w:p>
      <w:pPr>
        <w:pStyle w:val="ListBullet"/>
      </w:pPr>
      <w:r>
        <w:t>Align with tax return categories to make tax prep faster</w:t>
      </w:r>
    </w:p>
    <w:p>
      <w:pPr>
        <w:pStyle w:val="Heading1"/>
      </w:pPr>
      <w:r>
        <w:rPr>
          <w:color w:val="0F3460"/>
        </w:rPr>
        <w:t>COMMON COA MISTAKES TO FIX</w:t>
      </w:r>
    </w:p>
    <w:p>
      <w:pPr>
        <w:pStyle w:val="ListBullet"/>
      </w:pPr>
      <w:r>
        <w:t>Miscategorized owner draws as business expenses</w:t>
      </w:r>
    </w:p>
    <w:p>
      <w:pPr>
        <w:pStyle w:val="ListBullet"/>
      </w:pPr>
      <w:r>
        <w:t>Loans recorded as income</w:t>
      </w:r>
    </w:p>
    <w:p>
      <w:pPr>
        <w:pStyle w:val="ListBullet"/>
      </w:pPr>
      <w:r>
        <w:t>Credit card payments recorded as expenses (instead of liability payments)</w:t>
      </w:r>
    </w:p>
    <w:p>
      <w:pPr>
        <w:pStyle w:val="ListBullet"/>
      </w:pPr>
      <w:r>
        <w:t>Personal expenses mixed with business accounts</w:t>
      </w:r>
    </w:p>
    <w:p>
      <w:pPr>
        <w:pStyle w:val="ListBullet"/>
      </w:pPr>
      <w:r>
        <w:t>Opening balance equity left unresolved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