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2940"/>
        </w:rPr>
        <w:t>Creator Tax Guide -- What You Need to Know</w:t>
      </w:r>
    </w:p>
    <w:p>
      <w:r>
        <w:rPr>
          <w:b w:val="0"/>
          <w:sz w:val="20"/>
        </w:rPr>
        <w:t>Disclaimer: This is general educational information, not tax advice. Consult a CPA for your specific situation.</w:t>
      </w:r>
    </w:p>
    <w:p/>
    <w:p>
      <w:pPr>
        <w:pStyle w:val="Heading2"/>
      </w:pPr>
      <w:r>
        <w:rPr>
          <w:color w:val="0F2940"/>
        </w:rPr>
        <w:t>TAX BASICS FOR CONTENT CREATORS</w:t>
      </w:r>
    </w:p>
    <w:p>
      <w:pPr>
        <w:pStyle w:val="ListBullet"/>
      </w:pPr>
      <w:r>
        <w:t>Self-employment tax: Creators are self-employed and owe ~15.3% SE tax on net earnings</w:t>
      </w:r>
    </w:p>
    <w:p>
      <w:pPr>
        <w:pStyle w:val="ListBullet"/>
      </w:pPr>
      <w:r>
        <w:t>Income tax: Federal income tax on top of SE tax (rate depends on total income)</w:t>
      </w:r>
    </w:p>
    <w:p>
      <w:pPr>
        <w:pStyle w:val="ListBullet"/>
      </w:pPr>
      <w:r>
        <w:t>Estimated quarterly payments: Due April 15, June 15, Sept 15, Jan 15 of next year</w:t>
      </w:r>
    </w:p>
    <w:p>
      <w:pPr>
        <w:pStyle w:val="ListBullet"/>
      </w:pPr>
      <w:r>
        <w:t>1099-NEC: Brands must send you this form if they paid you $600+ in a year</w:t>
      </w:r>
    </w:p>
    <w:p>
      <w:pPr>
        <w:pStyle w:val="ListBullet"/>
      </w:pPr>
      <w:r>
        <w:t>Rule of thumb: Set aside 25-30% of every payment for taxes</w:t>
      </w:r>
    </w:p>
    <w:p>
      <w:pPr>
        <w:pStyle w:val="Heading2"/>
      </w:pPr>
      <w:r>
        <w:rPr>
          <w:color w:val="0F2940"/>
        </w:rPr>
        <w:t>DEDUCTIBLE BUSINESS EXPENSES</w:t>
      </w:r>
    </w:p>
    <w:p>
      <w:pPr>
        <w:pStyle w:val="Heading3"/>
      </w:pPr>
      <w:r>
        <w:rPr>
          <w:color w:val="0F2940"/>
        </w:rPr>
        <w:t>Equipment</w:t>
      </w:r>
    </w:p>
    <w:p>
      <w:r>
        <w:rPr>
          <w:b w:val="0"/>
          <w:sz w:val="22"/>
        </w:rPr>
        <w:t>Camera, lenses, tripod, ring light, microphone, SD cards</w:t>
      </w:r>
    </w:p>
    <w:p>
      <w:pPr>
        <w:pStyle w:val="Heading3"/>
      </w:pPr>
      <w:r>
        <w:rPr>
          <w:color w:val="0F2940"/>
        </w:rPr>
        <w:t>Software and Subscriptions</w:t>
      </w:r>
    </w:p>
    <w:p>
      <w:r>
        <w:rPr>
          <w:b w:val="0"/>
          <w:sz w:val="22"/>
        </w:rPr>
        <w:t>Editing apps, music licenses, design tools, project management</w:t>
      </w:r>
    </w:p>
    <w:p>
      <w:pPr>
        <w:pStyle w:val="Heading3"/>
      </w:pPr>
      <w:r>
        <w:rPr>
          <w:color w:val="0F2940"/>
        </w:rPr>
        <w:t>Home Office</w:t>
      </w:r>
    </w:p>
    <w:p>
      <w:r>
        <w:rPr>
          <w:b w:val="0"/>
          <w:sz w:val="22"/>
        </w:rPr>
        <w:t>% of rent/mortgage proportional to dedicated workspace sq footage</w:t>
      </w:r>
    </w:p>
    <w:p>
      <w:pPr>
        <w:pStyle w:val="Heading3"/>
      </w:pPr>
      <w:r>
        <w:rPr>
          <w:color w:val="0F2940"/>
        </w:rPr>
        <w:t>Internet</w:t>
      </w:r>
    </w:p>
    <w:p>
      <w:r>
        <w:rPr>
          <w:b w:val="0"/>
          <w:sz w:val="22"/>
        </w:rPr>
        <w:t>% used for business (typically 50-80% for creators)</w:t>
      </w:r>
    </w:p>
    <w:p>
      <w:pPr>
        <w:pStyle w:val="Heading3"/>
      </w:pPr>
      <w:r>
        <w:rPr>
          <w:color w:val="0F2940"/>
        </w:rPr>
        <w:t>Phone</w:t>
      </w:r>
    </w:p>
    <w:p>
      <w:r>
        <w:rPr>
          <w:b w:val="0"/>
          <w:sz w:val="22"/>
        </w:rPr>
        <w:t>% used for business (typically 50-75%)</w:t>
      </w:r>
    </w:p>
    <w:p>
      <w:pPr>
        <w:pStyle w:val="Heading3"/>
      </w:pPr>
      <w:r>
        <w:rPr>
          <w:color w:val="0F2940"/>
        </w:rPr>
        <w:t>Education</w:t>
      </w:r>
    </w:p>
    <w:p>
      <w:r>
        <w:rPr>
          <w:b w:val="0"/>
          <w:sz w:val="22"/>
        </w:rPr>
        <w:t>Courses, books, workshops related to content creation</w:t>
      </w:r>
    </w:p>
    <w:p>
      <w:pPr>
        <w:pStyle w:val="Heading3"/>
      </w:pPr>
      <w:r>
        <w:rPr>
          <w:color w:val="0F2940"/>
        </w:rPr>
        <w:t>Travel</w:t>
      </w:r>
    </w:p>
    <w:p>
      <w:r>
        <w:rPr>
          <w:b w:val="0"/>
          <w:sz w:val="22"/>
        </w:rPr>
        <w:t>Business travel to brand shoots, events, conferences</w:t>
      </w:r>
    </w:p>
    <w:p>
      <w:pPr>
        <w:pStyle w:val="Heading3"/>
      </w:pPr>
      <w:r>
        <w:rPr>
          <w:color w:val="0F2940"/>
        </w:rPr>
        <w:t>Props and Supplies</w:t>
      </w:r>
    </w:p>
    <w:p>
      <w:r>
        <w:rPr>
          <w:b w:val="0"/>
          <w:sz w:val="22"/>
        </w:rPr>
        <w:t>Products purchased specifically to feature in content</w:t>
      </w:r>
    </w:p>
    <w:p>
      <w:pPr>
        <w:pStyle w:val="Heading3"/>
      </w:pPr>
      <w:r>
        <w:rPr>
          <w:color w:val="0F2940"/>
        </w:rPr>
        <w:t>Professional Services</w:t>
      </w:r>
    </w:p>
    <w:p>
      <w:r>
        <w:rPr>
          <w:b w:val="0"/>
          <w:sz w:val="22"/>
        </w:rPr>
        <w:t>Accountant, lawyer, business coach fees</w:t>
      </w:r>
    </w:p>
    <w:p>
      <w:pPr>
        <w:pStyle w:val="Heading3"/>
      </w:pPr>
      <w:r>
        <w:rPr>
          <w:color w:val="0F2940"/>
        </w:rPr>
        <w:t>Marketing</w:t>
      </w:r>
    </w:p>
    <w:p>
      <w:r>
        <w:rPr>
          <w:b w:val="0"/>
          <w:sz w:val="22"/>
        </w:rPr>
        <w:t>Website, business cards, portfolio platform subscriptions</w:t>
      </w:r>
    </w:p>
    <w:p>
      <w:pPr>
        <w:pStyle w:val="Heading2"/>
      </w:pPr>
      <w:r>
        <w:rPr>
          <w:color w:val="0F2940"/>
        </w:rPr>
        <w:t>IMPORTANT DATES</w:t>
      </w:r>
    </w:p>
    <w:p>
      <w:pPr>
        <w:pStyle w:val="ListBullet"/>
      </w:pPr>
      <w:r>
        <w:t>January 31: Deadline to receive all 1099 forms from brands</w:t>
      </w:r>
    </w:p>
    <w:p>
      <w:pPr>
        <w:pStyle w:val="ListBullet"/>
      </w:pPr>
      <w:r>
        <w:t>April 15: Q1 estimated tax payment due + prior year tax return deadline</w:t>
      </w:r>
    </w:p>
    <w:p>
      <w:pPr>
        <w:pStyle w:val="ListBullet"/>
      </w:pPr>
      <w:r>
        <w:t>June 15: Q2 estimated tax payment due</w:t>
      </w:r>
    </w:p>
    <w:p>
      <w:pPr>
        <w:pStyle w:val="ListBullet"/>
      </w:pPr>
      <w:r>
        <w:t>September 15: Q3 estimated tax payment due</w:t>
      </w:r>
    </w:p>
    <w:p>
      <w:pPr>
        <w:pStyle w:val="ListBullet"/>
      </w:pPr>
      <w:r>
        <w:t>January 15 (next year): Q4 estimated tax payment due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