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F3460"/>
          <w:sz w:val="28"/>
        </w:rPr>
        <w:t>Multi-Carrier Quoting SOP</w:t>
      </w:r>
    </w:p>
    <w:p>
      <w:pPr/>
      <w:r>
        <w:rPr>
          <w:color w:val="7F8C8D"/>
          <w:sz w:val="20"/>
        </w:rPr>
        <w:t>Insurance Agency OS | Efficient, Compliant Quoting Workflow</w:t>
      </w:r>
    </w:p>
    <w:p/>
    <w:p>
      <w:pPr>
        <w:pStyle w:val="Heading1"/>
      </w:pPr>
      <w:r>
        <w:rPr>
          <w:color w:val="0F3460"/>
        </w:rPr>
        <w:t>Step 1 — Gather Required Information</w:t>
      </w:r>
    </w:p>
    <w:p>
      <w:r>
        <w:t>Personal Lines — Required Info:</w:t>
      </w:r>
    </w:p>
    <w:p>
      <w:pPr>
        <w:pStyle w:val="ListBullet"/>
      </w:pPr>
      <w:r>
        <w:t>Full legal names and dates of birth for all applicants</w:t>
      </w:r>
    </w:p>
    <w:p>
      <w:pPr>
        <w:pStyle w:val="ListBullet"/>
      </w:pPr>
      <w:r>
        <w:t>Social Security Numbers (required for most personal lines carriers)</w:t>
      </w:r>
    </w:p>
    <w:p>
      <w:pPr>
        <w:pStyle w:val="ListBullet"/>
      </w:pPr>
      <w:r>
        <w:t>Driver's license numbers and years licensed</w:t>
      </w:r>
    </w:p>
    <w:p>
      <w:pPr>
        <w:pStyle w:val="ListBullet"/>
      </w:pPr>
      <w:r>
        <w:t>Property address, year built, square footage, construction type</w:t>
      </w:r>
    </w:p>
    <w:p>
      <w:pPr>
        <w:pStyle w:val="ListBullet"/>
      </w:pPr>
      <w:r>
        <w:t>Current carrier, current premium, and coverage limits</w:t>
      </w:r>
    </w:p>
    <w:p>
      <w:r>
        <w:t>Commercial Lines — Required Info:</w:t>
      </w:r>
    </w:p>
    <w:p>
      <w:pPr>
        <w:pStyle w:val="ListBullet"/>
      </w:pPr>
      <w:r>
        <w:t>Business legal name, DBA, FEIN</w:t>
      </w:r>
    </w:p>
    <w:p>
      <w:pPr>
        <w:pStyle w:val="ListBullet"/>
      </w:pPr>
      <w:r>
        <w:t>Years in business, number of locations, gross revenue</w:t>
      </w:r>
    </w:p>
    <w:p>
      <w:pPr>
        <w:pStyle w:val="ListBullet"/>
      </w:pPr>
      <w:r>
        <w:t>Number of employees (full-time and part-time)</w:t>
      </w:r>
    </w:p>
    <w:p>
      <w:pPr>
        <w:pStyle w:val="ListBullet"/>
      </w:pPr>
      <w:r>
        <w:t>Claims history for the past 5 years (loss runs)</w:t>
      </w:r>
    </w:p>
    <w:p>
      <w:pPr>
        <w:pStyle w:val="Heading1"/>
      </w:pPr>
      <w:r>
        <w:rPr>
          <w:color w:val="0F3460"/>
        </w:rPr>
        <w:t>Step 2 — Market Selection</w:t>
      </w:r>
    </w:p>
    <w:p>
      <w:pPr>
        <w:pStyle w:val="ListBullet"/>
      </w:pPr>
      <w:r>
        <w:t>Personal Lines: Start with your top 3-4 standard market carriers</w:t>
      </w:r>
    </w:p>
    <w:p>
      <w:pPr>
        <w:pStyle w:val="ListBullet"/>
      </w:pPr>
      <w:r>
        <w:t>If non-standard risk (poor credit, prior claims, lapse): Move to E&amp;S or specialty markets</w:t>
      </w:r>
    </w:p>
    <w:p>
      <w:pPr>
        <w:pStyle w:val="ListBullet"/>
      </w:pPr>
      <w:r>
        <w:t>Commercial: Match the risk to the carrier's appetite — always check underwriting guidelines first</w:t>
      </w:r>
    </w:p>
    <w:p>
      <w:pPr>
        <w:pStyle w:val="ListBullet"/>
      </w:pPr>
      <w:r>
        <w:t>Always quote a minimum of 2-3 carriers per client to demonstrate market access value</w:t>
      </w:r>
    </w:p>
    <w:p>
      <w:pPr>
        <w:pStyle w:val="Heading1"/>
      </w:pPr>
      <w:r>
        <w:rPr>
          <w:color w:val="0F3460"/>
        </w:rPr>
        <w:t>Step 3 — Quote and Compare</w:t>
      </w:r>
    </w:p>
    <w:p>
      <w:pPr>
        <w:pStyle w:val="ListBullet"/>
      </w:pPr>
      <w:r>
        <w:t>Run quotes in each carrier's system with identical coverage parameters</w:t>
      </w:r>
    </w:p>
    <w:p>
      <w:pPr>
        <w:pStyle w:val="ListBullet"/>
      </w:pPr>
      <w:r>
        <w:t>Document all quotes with premium, carrier, AM Best rating, and coverage differences</w:t>
      </w:r>
    </w:p>
    <w:p>
      <w:pPr>
        <w:pStyle w:val="ListBullet"/>
      </w:pPr>
      <w:r>
        <w:t>Note any variances in coverage terms between carriers</w:t>
      </w:r>
    </w:p>
    <w:p>
      <w:pPr>
        <w:pStyle w:val="ListBullet"/>
      </w:pPr>
      <w:r>
        <w:t>Calculate comparable pricing by adjusting to same deductibles and limits</w:t>
      </w:r>
    </w:p>
    <w:p>
      <w:pPr>
        <w:pStyle w:val="Heading1"/>
      </w:pPr>
      <w:r>
        <w:rPr>
          <w:color w:val="0F3460"/>
        </w:rPr>
        <w:t>Step 4 — Quote Review Checklist</w:t>
      </w:r>
    </w:p>
    <w:p>
      <w:pPr>
        <w:pStyle w:val="ListBullet"/>
      </w:pPr>
      <w:r>
        <w:t>Verify all information entered matches what client provided</w:t>
      </w:r>
    </w:p>
    <w:p>
      <w:pPr>
        <w:pStyle w:val="ListBullet"/>
      </w:pPr>
      <w:r>
        <w:t>Confirm coverage limits meet state minimums and client's exposure</w:t>
      </w:r>
    </w:p>
    <w:p>
      <w:pPr>
        <w:pStyle w:val="ListBullet"/>
      </w:pPr>
      <w:r>
        <w:t>Check for any exclusions that need to be disclosed to client</w:t>
      </w:r>
    </w:p>
    <w:p>
      <w:pPr>
        <w:pStyle w:val="ListBullet"/>
      </w:pPr>
      <w:r>
        <w:t>Confirm carrier is currently admitted and in good standing in the client's state</w:t>
      </w:r>
    </w:p>
    <w:p>
      <w:pPr>
        <w:pStyle w:val="ListBullet"/>
      </w:pPr>
      <w:r>
        <w:t>Review payment options and note installment fees</w:t>
      </w:r>
    </w:p>
    <w:p>
      <w:pPr>
        <w:pStyle w:val="Heading1"/>
      </w:pPr>
      <w:r>
        <w:rPr>
          <w:color w:val="0F3460"/>
        </w:rPr>
        <w:t>Step 5 — Present and Bind</w:t>
      </w:r>
    </w:p>
    <w:p>
      <w:pPr>
        <w:pStyle w:val="ListBullet"/>
      </w:pPr>
      <w:r>
        <w:t>Present proposal in person or via video call — never email-only</w:t>
      </w:r>
    </w:p>
    <w:p>
      <w:pPr>
        <w:pStyle w:val="ListBullet"/>
      </w:pPr>
      <w:r>
        <w:t>Get verbal agreement before collecting payment or running applications</w:t>
      </w:r>
    </w:p>
    <w:p>
      <w:pPr>
        <w:pStyle w:val="ListBullet"/>
      </w:pPr>
      <w:r>
        <w:t>Collect signed applications and authorization before binding</w:t>
      </w:r>
    </w:p>
    <w:p>
      <w:pPr>
        <w:pStyle w:val="ListBullet"/>
      </w:pPr>
      <w:r>
        <w:t>Issue binder immediately upon binding and send to client</w:t>
      </w:r>
    </w:p>
    <w:p>
      <w:pPr>
        <w:pStyle w:val="ListBullet"/>
      </w:pPr>
      <w:r>
        <w:t>Send new client welcome email and onboarding instructions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