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Carrier Appointment SOP</w:t>
      </w:r>
    </w:p>
    <w:p>
      <w:pPr/>
      <w:r>
        <w:rPr>
          <w:color w:val="7F8C8D"/>
          <w:sz w:val="20"/>
        </w:rPr>
        <w:t>Insurance Agency OS | Getting Appointed and Maintaining Carrier Relationships</w:t>
      </w:r>
    </w:p>
    <w:p/>
    <w:p>
      <w:pPr>
        <w:pStyle w:val="Heading1"/>
      </w:pPr>
      <w:r>
        <w:rPr>
          <w:color w:val="0F3460"/>
        </w:rPr>
        <w:t>Understanding Carrier Appointments</w:t>
      </w:r>
    </w:p>
    <w:p>
      <w:r>
        <w:t>A carrier appointment is an agreement between you and an insurance company that authorizes you to sell their products. Without an appointment, you cannot legally bind coverage with that carrier. Managing your appointments is critical to your market access and business viability.</w:t>
      </w:r>
    </w:p>
    <w:p>
      <w:pPr>
        <w:pStyle w:val="Heading1"/>
      </w:pPr>
      <w:r>
        <w:rPr>
          <w:color w:val="0F3460"/>
        </w:rPr>
        <w:t>How to Get Appointed</w:t>
      </w:r>
    </w:p>
    <w:p>
      <w:pPr>
        <w:pStyle w:val="ListBullet"/>
      </w:pPr>
      <w:r>
        <w:t>Research the carrier's appointment process on their agent portal or contact their producer development team</w:t>
      </w:r>
    </w:p>
    <w:p>
      <w:pPr>
        <w:pStyle w:val="ListBullet"/>
      </w:pPr>
      <w:r>
        <w:t>Submit an appointment application with: E&amp;O certificate, license copies, business plan, and production projections</w:t>
      </w:r>
    </w:p>
    <w:p>
      <w:pPr>
        <w:pStyle w:val="ListBullet"/>
      </w:pPr>
      <w:r>
        <w:t>Some carriers have minimum production requirements — understand these before applying</w:t>
      </w:r>
    </w:p>
    <w:p>
      <w:pPr>
        <w:pStyle w:val="ListBullet"/>
      </w:pPr>
      <w:r>
        <w:t>Large carriers (Progressive, Travelers, Nationwide) have their own processes</w:t>
      </w:r>
    </w:p>
    <w:p>
      <w:pPr>
        <w:pStyle w:val="ListBullet"/>
      </w:pPr>
      <w:r>
        <w:t>Consider joining an aggregator (SIAA, Smart Choice, Keystone) for access to multiple carriers with one agreement</w:t>
      </w:r>
    </w:p>
    <w:p>
      <w:pPr>
        <w:pStyle w:val="Heading1"/>
      </w:pPr>
      <w:r>
        <w:rPr>
          <w:color w:val="0F3460"/>
        </w:rPr>
        <w:t>Maintaining Your Appointments</w:t>
      </w:r>
    </w:p>
    <w:p>
      <w:pPr>
        <w:pStyle w:val="ListBullet"/>
      </w:pPr>
      <w:r>
        <w:t>Meet minimum production requirements — loss of appointment often comes from inactivity</w:t>
      </w:r>
    </w:p>
    <w:p>
      <w:pPr>
        <w:pStyle w:val="ListBullet"/>
      </w:pPr>
      <w:r>
        <w:t>Attend carrier training and product update webinars</w:t>
      </w:r>
    </w:p>
    <w:p>
      <w:pPr>
        <w:pStyle w:val="ListBullet"/>
      </w:pPr>
      <w:r>
        <w:t>Build relationships with your carrier's territory manager/BDM</w:t>
      </w:r>
    </w:p>
    <w:p>
      <w:pPr>
        <w:pStyle w:val="ListBullet"/>
      </w:pPr>
      <w:r>
        <w:t>Keep loss ratios in acceptable ranges — high loss ratios lead to appointment terminations</w:t>
      </w:r>
    </w:p>
    <w:p>
      <w:pPr>
        <w:pStyle w:val="ListBullet"/>
      </w:pPr>
      <w:r>
        <w:t>Know your carriers' underwriting guidelines and don't submit unprofitable risks</w:t>
      </w:r>
    </w:p>
    <w:p>
      <w:pPr>
        <w:pStyle w:val="Heading1"/>
      </w:pPr>
      <w:r>
        <w:rPr>
          <w:color w:val="0F3460"/>
        </w:rPr>
        <w:t>Appointment Termination — What to Do</w:t>
      </w:r>
    </w:p>
    <w:p>
      <w:r>
        <w:t>If a carrier terminates your appointment:</w:t>
      </w:r>
    </w:p>
    <w:p>
      <w:pPr>
        <w:pStyle w:val="ListBullet"/>
      </w:pPr>
      <w:r>
        <w:t>Review termination letter for cause and effective date</w:t>
      </w:r>
    </w:p>
    <w:p>
      <w:pPr>
        <w:pStyle w:val="ListBullet"/>
      </w:pPr>
      <w:r>
        <w:t>Notify affected clients and move to a replacement carrier proactively</w:t>
      </w:r>
    </w:p>
    <w:p>
      <w:pPr>
        <w:pStyle w:val="ListBullet"/>
      </w:pPr>
      <w:r>
        <w:t>Request a 'for cause' vs. 'without cause' determination — affects non-compete clauses</w:t>
      </w:r>
    </w:p>
    <w:p>
      <w:pPr>
        <w:pStyle w:val="ListBullet"/>
      </w:pPr>
      <w:r>
        <w:t>Document all client notifications in their files</w:t>
      </w:r>
    </w:p>
    <w:p>
      <w:pPr>
        <w:pStyle w:val="ListBullet"/>
      </w:pPr>
      <w:r>
        <w:t>Review your state's requirements for notice to clients upon appointment loss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