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Carrier Negotiation Guide</w:t>
      </w:r>
    </w:p>
    <w:p>
      <w:pPr/>
      <w:r>
        <w:rPr>
          <w:color w:val="7F8C8D"/>
          <w:sz w:val="20"/>
        </w:rPr>
        <w:t>Insurance Agency OS | Maximizing Markets, Rates, and Support</w:t>
      </w:r>
    </w:p>
    <w:p/>
    <w:p>
      <w:pPr>
        <w:pStyle w:val="Heading1"/>
      </w:pPr>
      <w:r>
        <w:rPr>
          <w:color w:val="0F3460"/>
        </w:rPr>
        <w:t>Understanding Your Leverage as an Agent</w:t>
      </w:r>
    </w:p>
    <w:p>
      <w:r>
        <w:t>As an independent agent, you bring carriers business volume. That's leverage — and the best agents use it strategically. Your book of business, loss ratios, and growth trajectory all affect your ability to negotiate better terms, faster service, and exclusive programs.</w:t>
      </w:r>
    </w:p>
    <w:p>
      <w:pPr>
        <w:pStyle w:val="Heading1"/>
      </w:pPr>
      <w:r>
        <w:rPr>
          <w:color w:val="0F3460"/>
        </w:rPr>
        <w:t>What You Can Negotiate with Carriers</w:t>
      </w:r>
    </w:p>
    <w:p>
      <w:pPr>
        <w:pStyle w:val="ListBullet"/>
      </w:pPr>
      <w:r>
        <w:t>Commission levels: Standard vs. contingency commissions based on volume and loss ratio</w:t>
      </w:r>
    </w:p>
    <w:p>
      <w:pPr>
        <w:pStyle w:val="ListBullet"/>
      </w:pPr>
      <w:r>
        <w:t>Underwriting flexibility: Special pricing for hard-to-place risks from a trusted agent</w:t>
      </w:r>
    </w:p>
    <w:p>
      <w:pPr>
        <w:pStyle w:val="ListBullet"/>
      </w:pPr>
      <w:r>
        <w:t>Service levels: Dedicated underwriter, faster turnaround, priority handling</w:t>
      </w:r>
    </w:p>
    <w:p>
      <w:pPr>
        <w:pStyle w:val="ListBullet"/>
      </w:pPr>
      <w:r>
        <w:t>Marketing co-op funds: Carriers often provide marketing support for producing agents</w:t>
      </w:r>
    </w:p>
    <w:p>
      <w:pPr>
        <w:pStyle w:val="ListBullet"/>
      </w:pPr>
      <w:r>
        <w:t>Training and certification access: Advanced designations, carrier-specific training</w:t>
      </w:r>
    </w:p>
    <w:p>
      <w:pPr>
        <w:pStyle w:val="Heading1"/>
      </w:pPr>
      <w:r>
        <w:rPr>
          <w:color w:val="0F3460"/>
        </w:rPr>
        <w:t>Annual Carrier Review Meeting Agenda</w:t>
      </w:r>
    </w:p>
    <w:p>
      <w:pPr>
        <w:pStyle w:val="ListBullet"/>
      </w:pPr>
      <w:r>
        <w:t>Our production with you this year: [premium volume, policy count, growth %]</w:t>
      </w:r>
    </w:p>
    <w:p>
      <w:pPr>
        <w:pStyle w:val="ListBullet"/>
      </w:pPr>
      <w:r>
        <w:t>Our loss ratio with you: [X%] — discuss claims trends</w:t>
      </w:r>
    </w:p>
    <w:p>
      <w:pPr>
        <w:pStyle w:val="ListBullet"/>
      </w:pPr>
      <w:r>
        <w:t>Market and appetite: What lines are you looking for more or less of?</w:t>
      </w:r>
    </w:p>
    <w:p>
      <w:pPr>
        <w:pStyle w:val="ListBullet"/>
      </w:pPr>
      <w:r>
        <w:t>Service feedback: Areas where service could improve</w:t>
      </w:r>
    </w:p>
    <w:p>
      <w:pPr>
        <w:pStyle w:val="ListBullet"/>
      </w:pPr>
      <w:r>
        <w:t>2025 goals and initiatives: How can we grow together?</w:t>
      </w:r>
    </w:p>
    <w:p>
      <w:pPr>
        <w:pStyle w:val="ListBullet"/>
      </w:pPr>
      <w:r>
        <w:t>Contingency and profit sharing: What are the thresholds and current trajectory?</w:t>
      </w:r>
    </w:p>
    <w:p>
      <w:pPr>
        <w:pStyle w:val="Heading1"/>
      </w:pPr>
      <w:r>
        <w:rPr>
          <w:color w:val="0F3460"/>
        </w:rPr>
        <w:t>Building Your Carrier Scorecard</w:t>
      </w:r>
    </w:p>
    <w:p>
      <w:r>
        <w:t>Rate each carrier quarterly on:</w:t>
      </w:r>
    </w:p>
    <w:p>
      <w:pPr>
        <w:pStyle w:val="ListBullet"/>
      </w:pPr>
      <w:r>
        <w:t>Competitive pricing in your key market segments (1-5 scale)</w:t>
      </w:r>
    </w:p>
    <w:p>
      <w:pPr>
        <w:pStyle w:val="ListBullet"/>
      </w:pPr>
      <w:r>
        <w:t>Underwriting flexibility and turnaround time (1-5)</w:t>
      </w:r>
    </w:p>
    <w:p>
      <w:pPr>
        <w:pStyle w:val="ListBullet"/>
      </w:pPr>
      <w:r>
        <w:t>Claims handling and adjuster responsiveness (1-5)</w:t>
      </w:r>
    </w:p>
    <w:p>
      <w:pPr>
        <w:pStyle w:val="ListBullet"/>
      </w:pPr>
      <w:r>
        <w:t>Policy service and endorsement processing speed (1-5)</w:t>
      </w:r>
    </w:p>
    <w:p>
      <w:pPr>
        <w:pStyle w:val="ListBullet"/>
      </w:pPr>
      <w:r>
        <w:t>Technology (quoting system, portal, digital tools) (1-5)</w:t>
      </w:r>
    </w:p>
    <w:p>
      <w:pPr>
        <w:pStyle w:val="ListBullet"/>
      </w:pPr>
      <w:r>
        <w:t>Relationship quality with territory manager (1-5)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