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color w:val="0F3460"/>
          <w:sz w:val="28"/>
        </w:rPr>
        <w:t>Market Access Strategy</w:t>
      </w:r>
    </w:p>
    <w:p>
      <w:pPr/>
      <w:r>
        <w:rPr>
          <w:color w:val="7F8C8D"/>
          <w:sz w:val="20"/>
        </w:rPr>
        <w:t>Insurance Agency OS | Building a Competitive Carrier Portfolio</w:t>
      </w:r>
    </w:p>
    <w:p/>
    <w:p>
      <w:pPr>
        <w:pStyle w:val="Heading1"/>
      </w:pPr>
      <w:r>
        <w:rPr>
          <w:color w:val="0F3460"/>
        </w:rPr>
        <w:t>Why Market Access Matters</w:t>
      </w:r>
    </w:p>
    <w:p>
      <w:r>
        <w:t>The value you provide as an independent agent is directly tied to your market access. The more carriers you represent, the more competitive options you can offer clients, and the harder it is for clients to leave (and find the same market access elsewhere).</w:t>
      </w:r>
    </w:p>
    <w:p>
      <w:pPr>
        <w:pStyle w:val="Heading1"/>
      </w:pPr>
      <w:r>
        <w:rPr>
          <w:color w:val="0F3460"/>
        </w:rPr>
        <w:t>Core Personal Lines Carrier Portfolio</w:t>
      </w:r>
    </w:p>
    <w:p>
      <w:r>
        <w:t>Target: 6-10 personal lines carriers covering all client segments</w:t>
      </w:r>
    </w:p>
    <w:p>
      <w:pPr>
        <w:pStyle w:val="ListBullet"/>
      </w:pPr>
      <w:r>
        <w:t>2-3 preferred market carriers (for excellent credit, no claims clients)</w:t>
      </w:r>
    </w:p>
    <w:p>
      <w:pPr>
        <w:pStyle w:val="ListBullet"/>
      </w:pPr>
      <w:r>
        <w:t>2-3 standard market carriers (for average risk profiles)</w:t>
      </w:r>
    </w:p>
    <w:p>
      <w:pPr>
        <w:pStyle w:val="ListBullet"/>
      </w:pPr>
      <w:r>
        <w:t>1-2 non-standard carriers (for high-risk profiles: DUI, poor credit, lapse)</w:t>
      </w:r>
    </w:p>
    <w:p>
      <w:pPr>
        <w:pStyle w:val="ListBullet"/>
      </w:pPr>
      <w:r>
        <w:t>1 specialty carrier (condo, high-value home, coastal)</w:t>
      </w:r>
    </w:p>
    <w:p>
      <w:pPr>
        <w:pStyle w:val="Heading1"/>
      </w:pPr>
      <w:r>
        <w:rPr>
          <w:color w:val="0F3460"/>
        </w:rPr>
        <w:t>Core Commercial Lines Carrier Portfolio</w:t>
      </w:r>
    </w:p>
    <w:p>
      <w:r>
        <w:t>Target: 8-12 commercial carriers with diversified appetite</w:t>
      </w:r>
    </w:p>
    <w:p>
      <w:pPr>
        <w:pStyle w:val="ListBullet"/>
      </w:pPr>
      <w:r>
        <w:t>General liability and BOP carriers (2-3)</w:t>
      </w:r>
    </w:p>
    <w:p>
      <w:pPr>
        <w:pStyle w:val="ListBullet"/>
      </w:pPr>
      <w:r>
        <w:t>Commercial auto (2)</w:t>
      </w:r>
    </w:p>
    <w:p>
      <w:pPr>
        <w:pStyle w:val="ListBullet"/>
      </w:pPr>
      <w:r>
        <w:t>Workers compensation (2-3)</w:t>
      </w:r>
    </w:p>
    <w:p>
      <w:pPr>
        <w:pStyle w:val="ListBullet"/>
      </w:pPr>
      <w:r>
        <w:t>Professional liability and D&amp;O (1-2)</w:t>
      </w:r>
    </w:p>
    <w:p>
      <w:pPr>
        <w:pStyle w:val="ListBullet"/>
      </w:pPr>
      <w:r>
        <w:t>Specialty commercial (cyber, EPLI, contractors) (2-3)</w:t>
      </w:r>
    </w:p>
    <w:p>
      <w:pPr>
        <w:pStyle w:val="ListBullet"/>
      </w:pPr>
      <w:r>
        <w:t>E&amp;S market access for hard-to-place risks (1 E&amp;S broker relationship)</w:t>
      </w:r>
    </w:p>
    <w:p>
      <w:pPr>
        <w:pStyle w:val="Heading1"/>
      </w:pPr>
      <w:r>
        <w:rPr>
          <w:color w:val="0F3460"/>
        </w:rPr>
        <w:t>Aggregator Advantages</w:t>
      </w:r>
    </w:p>
    <w:p>
      <w:pPr>
        <w:pStyle w:val="ListBullet"/>
      </w:pPr>
      <w:r>
        <w:t>SIAA: Largest independent agency alliance — carrier access + profit sharing</w:t>
      </w:r>
    </w:p>
    <w:p>
      <w:pPr>
        <w:pStyle w:val="ListBullet"/>
      </w:pPr>
      <w:r>
        <w:t>Smart Choice: Access to 40+ carriers with no production minimums for each</w:t>
      </w:r>
    </w:p>
    <w:p>
      <w:pPr>
        <w:pStyle w:val="ListBullet"/>
      </w:pPr>
      <w:r>
        <w:t>Keystone: Regional focus, strong carrier relationships, agency development</w:t>
      </w:r>
    </w:p>
    <w:p>
      <w:pPr>
        <w:pStyle w:val="ListBullet"/>
      </w:pPr>
      <w:r>
        <w:t>Advantage: Access to markets you could never get alone as a new agency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