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Insurance Product Knowledge Guide</w:t>
      </w:r>
    </w:p>
    <w:p>
      <w:pPr/>
      <w:r>
        <w:rPr>
          <w:color w:val="7F8C8D"/>
          <w:sz w:val="20"/>
        </w:rPr>
        <w:t>Insurance Agency OS | Essential Reference for Every Insurance Line</w:t>
      </w:r>
    </w:p>
    <w:p/>
    <w:p>
      <w:pPr>
        <w:pStyle w:val="Heading1"/>
      </w:pPr>
      <w:r>
        <w:rPr>
          <w:color w:val="0F3460"/>
        </w:rPr>
        <w:t>Property &amp; Casualty — Core Concepts</w:t>
      </w:r>
    </w:p>
    <w:p>
      <w:pPr>
        <w:pStyle w:val="ListBullet"/>
      </w:pPr>
      <w:r>
        <w:t>Homeowner's Insurance: HO-3 (open perils on dwelling, named perils on contents) is most common</w:t>
      </w:r>
    </w:p>
    <w:p>
      <w:pPr>
        <w:pStyle w:val="ListBullet"/>
      </w:pPr>
      <w:r>
        <w:t>Condo Insurance: HO-6 covers interior, personal property, liability; HOA covers exterior</w:t>
      </w:r>
    </w:p>
    <w:p>
      <w:pPr>
        <w:pStyle w:val="ListBullet"/>
      </w:pPr>
      <w:r>
        <w:t>Renters Insurance: HO-4 covers personal property and liability only (no dwelling)</w:t>
      </w:r>
    </w:p>
    <w:p>
      <w:pPr>
        <w:pStyle w:val="ListBullet"/>
      </w:pPr>
      <w:r>
        <w:t>Auto Insurance: Personal auto policy (PAP) covers 4 sections: liability, medical, uninsured motorist, physical damage</w:t>
      </w:r>
    </w:p>
    <w:p>
      <w:pPr>
        <w:pStyle w:val="ListBullet"/>
      </w:pPr>
      <w:r>
        <w:t>Umbrella: Excess liability above home and auto; typically $1M increments; requires underlying limits</w:t>
      </w:r>
    </w:p>
    <w:p>
      <w:pPr>
        <w:pStyle w:val="Heading1"/>
      </w:pPr>
      <w:r>
        <w:rPr>
          <w:color w:val="0F3460"/>
        </w:rPr>
        <w:t>Life Insurance — Core Concepts</w:t>
      </w:r>
    </w:p>
    <w:p>
      <w:pPr>
        <w:pStyle w:val="ListBullet"/>
      </w:pPr>
      <w:r>
        <w:t>Term Life: Pure death benefit for a set period (10, 20, 30 years). Most affordable.</w:t>
      </w:r>
    </w:p>
    <w:p>
      <w:pPr>
        <w:pStyle w:val="ListBullet"/>
      </w:pPr>
      <w:r>
        <w:t>Whole Life: Permanent coverage with guaranteed cash value accumulation</w:t>
      </w:r>
    </w:p>
    <w:p>
      <w:pPr>
        <w:pStyle w:val="ListBullet"/>
      </w:pPr>
      <w:r>
        <w:t>Universal Life: Flexible premiums; cash value earns a declared interest rate</w:t>
      </w:r>
    </w:p>
    <w:p>
      <w:pPr>
        <w:pStyle w:val="ListBullet"/>
      </w:pPr>
      <w:r>
        <w:t>Variable Life: Cash value tied to separate account investments (market risk)</w:t>
      </w:r>
    </w:p>
    <w:p>
      <w:pPr>
        <w:pStyle w:val="ListBullet"/>
      </w:pPr>
      <w:r>
        <w:t>Indexed Universal Life (IUL): Cash value tied to equity index with floor/cap</w:t>
      </w:r>
    </w:p>
    <w:p>
      <w:pPr>
        <w:pStyle w:val="Heading1"/>
      </w:pPr>
      <w:r>
        <w:rPr>
          <w:color w:val="0F3460"/>
        </w:rPr>
        <w:t>Commercial Lines — Core Concepts</w:t>
      </w:r>
    </w:p>
    <w:p>
      <w:pPr>
        <w:pStyle w:val="ListBullet"/>
      </w:pPr>
      <w:r>
        <w:t>General Liability: CGL policy covers bodily injury, property damage, advertising injury</w:t>
      </w:r>
    </w:p>
    <w:p>
      <w:pPr>
        <w:pStyle w:val="ListBullet"/>
      </w:pPr>
      <w:r>
        <w:t>Commercial Property: Covers building and contents from covered perils</w:t>
      </w:r>
    </w:p>
    <w:p>
      <w:pPr>
        <w:pStyle w:val="ListBullet"/>
      </w:pPr>
      <w:r>
        <w:t>BOP: Package of GL + property + business interruption for eligible small businesses</w:t>
      </w:r>
    </w:p>
    <w:p>
      <w:pPr>
        <w:pStyle w:val="ListBullet"/>
      </w:pPr>
      <w:r>
        <w:t>Workers Compensation: Statutory coverage; mandatory in most states; employer liability included</w:t>
      </w:r>
    </w:p>
    <w:p>
      <w:pPr>
        <w:pStyle w:val="ListBullet"/>
      </w:pPr>
      <w:r>
        <w:t>Commercial Auto: Business use of vehicles; fleet policies for 5+ vehicles</w:t>
      </w:r>
    </w:p>
    <w:p>
      <w:pPr>
        <w:pStyle w:val="ListBullet"/>
      </w:pPr>
      <w:r>
        <w:t>Professional Liability: Claims-made basis; covers errors and omissions in professional services</w:t>
      </w:r>
    </w:p>
    <w:p>
      <w:pPr>
        <w:pStyle w:val="Heading1"/>
      </w:pPr>
      <w:r>
        <w:rPr>
          <w:color w:val="0F3460"/>
        </w:rPr>
        <w:t>Health Insurance — Core Concepts</w:t>
      </w:r>
    </w:p>
    <w:p>
      <w:pPr>
        <w:pStyle w:val="ListBullet"/>
      </w:pPr>
      <w:r>
        <w:t>Deductible: Amount you pay before insurance pays (except for preventive care in ACA plans)</w:t>
      </w:r>
    </w:p>
    <w:p>
      <w:pPr>
        <w:pStyle w:val="ListBullet"/>
      </w:pPr>
      <w:r>
        <w:t>Copay: Fixed amount you pay for a specific service (e.g., $30 for primary care)</w:t>
      </w:r>
    </w:p>
    <w:p>
      <w:pPr>
        <w:pStyle w:val="ListBullet"/>
      </w:pPr>
      <w:r>
        <w:t>Coinsurance: Your percentage share after deductible (e.g., 20% until out-of-pocket max)</w:t>
      </w:r>
    </w:p>
    <w:p>
      <w:pPr>
        <w:pStyle w:val="ListBullet"/>
      </w:pPr>
      <w:r>
        <w:t>Out-of-Pocket Maximum: After this amount, carrier pays 100% for covered services</w:t>
      </w:r>
    </w:p>
    <w:p>
      <w:pPr>
        <w:pStyle w:val="ListBullet"/>
      </w:pPr>
      <w:r>
        <w:t>Network: In-network = negotiated rates; out-of-network = full cost</w:t>
      </w:r>
    </w:p>
    <w:p>
      <w:pPr>
        <w:pStyle w:val="ListBullet"/>
      </w:pPr>
      <w:r>
        <w:t>Medicare Parts: A (hospital), B (medical), C (Advantage), D (prescription drugs)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