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Fair Lending and Anti-Discrimination Policy</w:t>
      </w:r>
    </w:p>
    <w:p>
      <w:pPr/>
      <w:r>
        <w:rPr>
          <w:color w:val="7F8C8D"/>
          <w:sz w:val="20"/>
        </w:rPr>
        <w:t>Internal policy to ensure compliance with fair lending laws.</w:t>
      </w:r>
    </w:p>
    <w:p>
      <w:pPr>
        <w:pStyle w:val="Heading1"/>
      </w:pPr>
      <w:r>
        <w:t>Policy Statement</w:t>
      </w:r>
    </w:p>
    <w:p>
      <w:r>
        <w:t>This organisation is committed to complying with all applicable federal and state fair lending laws, including ECOA, the Fair Housing Act, and the Community Reinvestment Act.</w:t>
      </w:r>
    </w:p>
    <w:p>
      <w:pPr>
        <w:pStyle w:val="Heading1"/>
      </w:pPr>
      <w:r>
        <w:t>Prohibited Bases for Credit Decisions</w:t>
      </w:r>
    </w:p>
    <w:p>
      <w:pPr>
        <w:pStyle w:val="ListBullet"/>
      </w:pPr>
      <w:r>
        <w:t>Race or colour</w:t>
      </w:r>
    </w:p>
    <w:p>
      <w:pPr>
        <w:pStyle w:val="ListBullet"/>
      </w:pPr>
      <w:r>
        <w:t>National origin</w:t>
      </w:r>
    </w:p>
    <w:p>
      <w:pPr>
        <w:pStyle w:val="ListBullet"/>
      </w:pPr>
      <w:r>
        <w:t>Religion</w:t>
      </w:r>
    </w:p>
    <w:p>
      <w:pPr>
        <w:pStyle w:val="ListBullet"/>
      </w:pPr>
      <w:r>
        <w:t>Sex or gender identity</w:t>
      </w:r>
    </w:p>
    <w:p>
      <w:pPr>
        <w:pStyle w:val="ListBullet"/>
      </w:pPr>
      <w:r>
        <w:t>Marital or familial status</w:t>
      </w:r>
    </w:p>
    <w:p>
      <w:pPr>
        <w:pStyle w:val="ListBullet"/>
      </w:pPr>
      <w:r>
        <w:t>Age — unless the applicant is a minor</w:t>
      </w:r>
    </w:p>
    <w:p>
      <w:pPr>
        <w:pStyle w:val="ListBullet"/>
      </w:pPr>
      <w:r>
        <w:t>Receipt of public assistance income</w:t>
      </w:r>
    </w:p>
    <w:p>
      <w:pPr>
        <w:pStyle w:val="ListBullet"/>
      </w:pPr>
      <w:r>
        <w:t>Disability</w:t>
      </w:r>
    </w:p>
    <w:p>
      <w:pPr>
        <w:pStyle w:val="Heading1"/>
      </w:pPr>
      <w:r>
        <w:t>Credit Decision Standards</w:t>
      </w:r>
    </w:p>
    <w:p>
      <w:pPr>
        <w:pStyle w:val="ListBullet"/>
      </w:pPr>
      <w:r>
        <w:t>All credit decisions are based solely on creditworthiness and lender program eligibility</w:t>
      </w:r>
    </w:p>
    <w:p>
      <w:pPr>
        <w:pStyle w:val="ListBullet"/>
      </w:pPr>
      <w:r>
        <w:t>The same standards and criteria are applied to all applicants</w:t>
      </w:r>
    </w:p>
    <w:p>
      <w:pPr>
        <w:pStyle w:val="ListBullet"/>
      </w:pPr>
      <w:r>
        <w:t>Staff receive fair lending training annually</w:t>
      </w:r>
    </w:p>
    <w:p>
      <w:pPr>
        <w:pStyle w:val="Heading1"/>
      </w:pPr>
      <w:r>
        <w:t>Adverse Action</w:t>
      </w:r>
    </w:p>
    <w:p>
      <w:pPr>
        <w:pStyle w:val="ListBullet"/>
      </w:pPr>
      <w:r>
        <w:t>Written adverse action notices sent within 30 days of unfavourable decisions</w:t>
      </w:r>
    </w:p>
    <w:p>
      <w:pPr>
        <w:pStyle w:val="ListBullet"/>
      </w:pPr>
      <w:r>
        <w:t>Notices state specific reasons for the decision</w:t>
      </w:r>
    </w:p>
    <w:p>
      <w:pPr>
        <w:pStyle w:val="ListBullet"/>
      </w:pPr>
      <w:r>
        <w:t>Applicants informed of the right to receive a free copy of their credit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