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Record Keeping Policy</w:t>
      </w:r>
    </w:p>
    <w:p>
      <w:pPr/>
      <w:r>
        <w:rPr>
          <w:color w:val="7F8C8D"/>
          <w:sz w:val="20"/>
        </w:rPr>
        <w:t>Real Estate Agent Operating System | Compliance &amp; Legal</w:t>
      </w:r>
    </w:p>
    <w:p>
      <w:pPr>
        <w:pStyle w:val="Heading1"/>
      </w:pPr>
      <w:r>
        <w:rPr>
          <w:color w:val="0F3460"/>
        </w:rPr>
        <w:t>REQUIRED RETENTION PERIODS</w:t>
      </w:r>
    </w:p>
    <w:p>
      <w:pPr>
        <w:pStyle w:val="ListBullet"/>
      </w:pPr>
      <w:r>
        <w:t>Transaction files (contracts, disclosures, all related docs): 3–7 years (check your state — most require 5 years minimum)</w:t>
      </w:r>
    </w:p>
    <w:p>
      <w:pPr>
        <w:pStyle w:val="ListBullet"/>
      </w:pPr>
      <w:r>
        <w:t>Trust account records: 3–5 years</w:t>
      </w:r>
    </w:p>
    <w:p>
      <w:pPr>
        <w:pStyle w:val="ListBullet"/>
      </w:pPr>
      <w:r>
        <w:t>Advertising and marketing materials: 3 years</w:t>
      </w:r>
    </w:p>
    <w:p>
      <w:pPr>
        <w:pStyle w:val="ListBullet"/>
      </w:pPr>
      <w:r>
        <w:t>Agency disclosure acknowledgments: Life of transaction + 3 years minimum</w:t>
      </w:r>
    </w:p>
    <w:p>
      <w:pPr>
        <w:pStyle w:val="ListBullet"/>
      </w:pPr>
      <w:r>
        <w:t>Lead paint disclosures: 3 years after sale</w:t>
      </w:r>
    </w:p>
    <w:p>
      <w:pPr>
        <w:pStyle w:val="Heading1"/>
      </w:pPr>
      <w:r>
        <w:rPr>
          <w:color w:val="0F3460"/>
        </w:rPr>
        <w:t>WHAT TO KEEP IN EVERY TRANSACTION FILE</w:t>
      </w:r>
    </w:p>
    <w:p>
      <w:pPr>
        <w:pStyle w:val="ListBullet"/>
      </w:pPr>
      <w:r>
        <w:t>Listing agreement or buyer representation agreement</w:t>
      </w:r>
    </w:p>
    <w:p>
      <w:pPr>
        <w:pStyle w:val="ListBullet"/>
      </w:pPr>
      <w:r>
        <w:t>All offers, counteroffers, and addenda</w:t>
      </w:r>
    </w:p>
    <w:p>
      <w:pPr>
        <w:pStyle w:val="ListBullet"/>
      </w:pPr>
      <w:r>
        <w:t>Executed purchase agreement</w:t>
      </w:r>
    </w:p>
    <w:p>
      <w:pPr>
        <w:pStyle w:val="ListBullet"/>
      </w:pPr>
      <w:r>
        <w:t>Agency disclosures — signed by all parties</w:t>
      </w:r>
    </w:p>
    <w:p>
      <w:pPr>
        <w:pStyle w:val="ListBullet"/>
      </w:pPr>
      <w:r>
        <w:t>Inspection reports and responses</w:t>
      </w:r>
    </w:p>
    <w:p>
      <w:pPr>
        <w:pStyle w:val="ListBullet"/>
      </w:pPr>
      <w:r>
        <w:t>Lead paint disclosure (if pre-1978 home)</w:t>
      </w:r>
    </w:p>
    <w:p>
      <w:pPr>
        <w:pStyle w:val="ListBullet"/>
      </w:pPr>
      <w:r>
        <w:t>Appraisal report</w:t>
      </w:r>
    </w:p>
    <w:p>
      <w:pPr>
        <w:pStyle w:val="ListBullet"/>
      </w:pPr>
      <w:r>
        <w:t>Closing settlement statement</w:t>
      </w:r>
    </w:p>
    <w:p>
      <w:pPr>
        <w:pStyle w:val="ListBullet"/>
      </w:pPr>
      <w:r>
        <w:t>All written communications with parties</w:t>
      </w:r>
    </w:p>
    <w:p>
      <w:pPr>
        <w:pStyle w:val="Heading1"/>
      </w:pPr>
      <w:r>
        <w:rPr>
          <w:color w:val="0F3460"/>
        </w:rPr>
        <w:t>DIGITAL RECORD KEEPING</w:t>
      </w:r>
    </w:p>
    <w:p>
      <w:pPr>
        <w:pStyle w:val="ListBullet"/>
      </w:pPr>
      <w:r>
        <w:t>Organize by address and transaction year: [Year]/[Address]/[Folder structure]</w:t>
      </w:r>
    </w:p>
    <w:p>
      <w:pPr>
        <w:pStyle w:val="ListBullet"/>
      </w:pPr>
      <w:r>
        <w:t>Use cloud storage with automatic backup</w:t>
      </w:r>
    </w:p>
    <w:p>
      <w:pPr>
        <w:pStyle w:val="ListBullet"/>
      </w:pPr>
      <w:r>
        <w:t>Store signed documents as PDFs — never only as unsigned drafts</w:t>
      </w:r>
    </w:p>
    <w:p>
      <w:pPr>
        <w:pStyle w:val="ListBullet"/>
      </w:pPr>
      <w:r>
        <w:t>Confirm your brokerage record-keeping requirements — most brokers maintain master files</w:t>
      </w:r>
    </w:p>
    <w:p>
      <w:pPr>
        <w:pStyle w:val="Heading1"/>
      </w:pPr>
      <w:r>
        <w:rPr>
          <w:color w:val="0F3460"/>
        </w:rPr>
        <w:t>UPON LEAVING A BROKERAGE</w:t>
      </w:r>
    </w:p>
    <w:p>
      <w:r>
        <w:t>When changing brokerages, all transaction files typically remain with the brokerage. Ensure you have personal copies of your own business records and client contact information (check your state's rules on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